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83" w:rsidRDefault="00537502" w:rsidP="00382454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bookmarkStart w:id="0" w:name="_GoBack"/>
      <w:bookmarkEnd w:id="0"/>
      <w:r>
        <w:rPr>
          <w:rFonts w:ascii="Sylfaen" w:hAnsi="Sylfaen"/>
          <w:b/>
          <w:sz w:val="28"/>
          <w:szCs w:val="28"/>
          <w:lang w:val="ka-GE"/>
        </w:rPr>
        <w:t xml:space="preserve">განათლების კულტურისა და სპორტის </w:t>
      </w:r>
      <w:r w:rsidR="00750283">
        <w:rPr>
          <w:rFonts w:ascii="Sylfaen" w:hAnsi="Sylfaen"/>
          <w:b/>
          <w:sz w:val="28"/>
          <w:szCs w:val="28"/>
          <w:lang w:val="ka-GE"/>
        </w:rPr>
        <w:t xml:space="preserve">სამინისტროს </w:t>
      </w:r>
      <w:r w:rsidR="00B25C9B">
        <w:rPr>
          <w:rFonts w:ascii="Sylfaen" w:hAnsi="Sylfaen"/>
          <w:b/>
          <w:sz w:val="28"/>
          <w:szCs w:val="28"/>
          <w:lang w:val="ka-GE"/>
        </w:rPr>
        <w:t>სტრატეგი</w:t>
      </w:r>
      <w:r w:rsidR="00750283">
        <w:rPr>
          <w:rFonts w:ascii="Sylfaen" w:hAnsi="Sylfaen"/>
          <w:b/>
          <w:sz w:val="28"/>
          <w:szCs w:val="28"/>
          <w:lang w:val="ka-GE"/>
        </w:rPr>
        <w:t>ული გეგმის</w:t>
      </w:r>
      <w:r w:rsidR="00B25C9B">
        <w:rPr>
          <w:rFonts w:ascii="Sylfaen" w:hAnsi="Sylfaen"/>
          <w:b/>
          <w:sz w:val="28"/>
          <w:szCs w:val="28"/>
          <w:lang w:val="ka-GE"/>
        </w:rPr>
        <w:t xml:space="preserve"> </w:t>
      </w:r>
    </w:p>
    <w:p w:rsidR="00C56D0F" w:rsidRDefault="00B25C9B" w:rsidP="00382454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მონიტორინგისა და შეფასების სამუშაო გეგმა</w:t>
      </w:r>
    </w:p>
    <w:p w:rsidR="004B722D" w:rsidRDefault="004B722D" w:rsidP="00382454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tbl>
      <w:tblPr>
        <w:tblStyle w:val="TableGrid"/>
        <w:tblW w:w="1512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1843"/>
        <w:gridCol w:w="1842"/>
        <w:gridCol w:w="1701"/>
        <w:gridCol w:w="1843"/>
        <w:gridCol w:w="1843"/>
        <w:gridCol w:w="1843"/>
        <w:gridCol w:w="1795"/>
      </w:tblGrid>
      <w:tr w:rsidR="004B722D" w:rsidRPr="00F928DE" w:rsidTr="004B722D">
        <w:trPr>
          <w:trHeight w:val="1076"/>
          <w:tblHeader/>
        </w:trPr>
        <w:tc>
          <w:tcPr>
            <w:tcW w:w="2411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ინდიკატორი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შეკრების პერიოდულობა და ვადები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:rsidR="004B722D" w:rsidRPr="00ED214C" w:rsidRDefault="004B722D" w:rsidP="004B722D">
            <w:pPr>
              <w:jc w:val="center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  <w:r w:rsidRPr="00001AEA">
              <w:rPr>
                <w:rFonts w:ascii="Sylfaen" w:hAnsi="Sylfaen"/>
                <w:b/>
                <w:sz w:val="18"/>
                <w:szCs w:val="18"/>
                <w:lang w:val="ka-GE"/>
              </w:rPr>
              <w:t>პასუხისმგებელი მონაცემთა მოგროვებაზე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ადგილ-მდებარეობა და საკონტაქტო პირი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წყარო</w:t>
            </w:r>
          </w:p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მონაცემთა ანალიზზე პასუხისმგებელი პირი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B722D" w:rsidRPr="00B25C9B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ანგარიშის შედგენის პერიოდიულობა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და </w:t>
            </w: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ანგარიშის სახე</w:t>
            </w:r>
          </w:p>
        </w:tc>
        <w:tc>
          <w:tcPr>
            <w:tcW w:w="1795" w:type="dxa"/>
            <w:shd w:val="clear" w:color="auto" w:fill="B8CCE4" w:themeFill="accent1" w:themeFillTint="66"/>
            <w:vAlign w:val="center"/>
          </w:tcPr>
          <w:p w:rsidR="004B722D" w:rsidRPr="00F928DE" w:rsidRDefault="004B722D" w:rsidP="004B722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928DE">
              <w:rPr>
                <w:rFonts w:ascii="Sylfaen" w:hAnsi="Sylfaen"/>
                <w:b/>
                <w:sz w:val="18"/>
                <w:szCs w:val="18"/>
                <w:lang w:val="ka-GE"/>
              </w:rPr>
              <w:t>პასუხისმგებელი ანგარიშის შედგენაზე</w:t>
            </w:r>
          </w:p>
        </w:tc>
      </w:tr>
      <w:tr w:rsidR="007837A7" w:rsidRPr="00B25C9B" w:rsidTr="00D54433">
        <w:tc>
          <w:tcPr>
            <w:tcW w:w="15121" w:type="dxa"/>
            <w:gridSpan w:val="8"/>
          </w:tcPr>
          <w:p w:rsidR="007837A7" w:rsidRPr="006976AC" w:rsidRDefault="006976AC" w:rsidP="00AA184B">
            <w:pPr>
              <w:rPr>
                <w:rFonts w:ascii="Sylfaen" w:hAnsi="Sylfaen"/>
                <w:b/>
                <w:color w:val="1F497D" w:themeColor="text2"/>
                <w:lang w:val="ka-GE"/>
              </w:rPr>
            </w:pPr>
            <w:r>
              <w:rPr>
                <w:rFonts w:ascii="Sylfaen" w:hAnsi="Sylfaen"/>
                <w:b/>
                <w:color w:val="1F497D" w:themeColor="text2"/>
                <w:lang w:val="ka-GE"/>
              </w:rPr>
              <w:t>საქმიანობის სფერო 1: განათლება</w:t>
            </w:r>
          </w:p>
        </w:tc>
      </w:tr>
      <w:tr w:rsidR="007B73F6" w:rsidRPr="00B25C9B" w:rsidTr="00D54433">
        <w:tc>
          <w:tcPr>
            <w:tcW w:w="15121" w:type="dxa"/>
            <w:gridSpan w:val="8"/>
          </w:tcPr>
          <w:p w:rsidR="007B73F6" w:rsidRPr="00ED214C" w:rsidRDefault="007B73F6" w:rsidP="00AA184B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D214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შედეგი 1.1: </w:t>
            </w:r>
            <w:r w:rsidR="00AA184B">
              <w:rPr>
                <w:rFonts w:ascii="Sylfaen" w:hAnsi="Sylfaen"/>
                <w:b/>
                <w:sz w:val="20"/>
                <w:szCs w:val="20"/>
                <w:lang w:val="ka-GE"/>
              </w:rPr>
              <w:t>განათლების ხარისხის გაუმჯობესება</w:t>
            </w:r>
          </w:p>
        </w:tc>
      </w:tr>
      <w:tr w:rsidR="006976AC" w:rsidRPr="00B25C9B" w:rsidTr="006976AC">
        <w:trPr>
          <w:trHeight w:val="131"/>
        </w:trPr>
        <w:tc>
          <w:tcPr>
            <w:tcW w:w="2411" w:type="dxa"/>
          </w:tcPr>
          <w:p w:rsidR="006976AC" w:rsidRPr="001C6019" w:rsidRDefault="006976AC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ა) მოსწავლეთა რაოდენობა, რომლებიც სარგებლობენ გაძლიერებული სწავლების მხარდაჭერის პროგრამით</w:t>
            </w:r>
          </w:p>
        </w:tc>
        <w:tc>
          <w:tcPr>
            <w:tcW w:w="1843" w:type="dxa"/>
          </w:tcPr>
          <w:p w:rsidR="006976AC" w:rsidRDefault="006976AC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6976AC" w:rsidRDefault="006976AC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976AC" w:rsidRPr="00B25C9B" w:rsidRDefault="006976AC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6976AC" w:rsidRP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6976AC" w:rsidRPr="00121285" w:rsidRDefault="006976AC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6976AC" w:rsidRPr="00121285" w:rsidRDefault="006976AC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მიზნობრივი პროგრამის მონაცემთა ბაზა</w:t>
            </w:r>
          </w:p>
        </w:tc>
        <w:tc>
          <w:tcPr>
            <w:tcW w:w="1843" w:type="dxa"/>
          </w:tcPr>
          <w:p w:rsidR="006976AC" w:rsidRPr="00121285" w:rsidRDefault="006976AC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  <w:tc>
          <w:tcPr>
            <w:tcW w:w="1843" w:type="dxa"/>
          </w:tcPr>
          <w:p w:rsidR="006976AC" w:rsidRPr="00B25C9B" w:rsidRDefault="006976AC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6976AC" w:rsidRPr="00121285" w:rsidRDefault="006976AC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</w:tr>
      <w:tr w:rsidR="00001AEA" w:rsidRPr="00B25C9B" w:rsidTr="004B722D">
        <w:trPr>
          <w:trHeight w:val="118"/>
        </w:trPr>
        <w:tc>
          <w:tcPr>
            <w:tcW w:w="2411" w:type="dxa"/>
          </w:tcPr>
          <w:p w:rsidR="00001AEA" w:rsidRPr="001C6019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ბ) მე-7 - მე-12 კლასების მოსწავლეთა პროცენტული მაჩვენებელი, რომლებიც მონაწილეობას იღებენ ოლიმპიადებში 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მიზნობრივი პროგრამის მონაცემთა ბაზა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</w:tr>
      <w:tr w:rsidR="00001AEA" w:rsidRPr="00B25C9B" w:rsidTr="004B722D">
        <w:trPr>
          <w:trHeight w:val="118"/>
        </w:trPr>
        <w:tc>
          <w:tcPr>
            <w:tcW w:w="2411" w:type="dxa"/>
          </w:tcPr>
          <w:p w:rsidR="00001AEA" w:rsidRPr="001C6019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გ) ჩატარებული კონკურსების რაოდენობა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ჩატარებული კონკურსების შესახებ შედგენილი ანგარიშები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</w:tr>
      <w:tr w:rsidR="00001AEA" w:rsidRPr="00B25C9B" w:rsidTr="004B722D">
        <w:trPr>
          <w:trHeight w:val="118"/>
        </w:trPr>
        <w:tc>
          <w:tcPr>
            <w:tcW w:w="2411" w:type="dxa"/>
          </w:tcPr>
          <w:p w:rsidR="00001AEA" w:rsidRPr="001C6019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დ) კონკურსის წესით რეგიონში არსებულ საჯარო სკოლებში შევსებულია მასწავლებლის 30 ვაკანტური თანამდებობა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მიზნობრივი პროგრამის მონაცემთა ბაზა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</w:tr>
      <w:tr w:rsidR="00001AEA" w:rsidRPr="00B25C9B" w:rsidTr="004B722D">
        <w:trPr>
          <w:trHeight w:val="118"/>
        </w:trPr>
        <w:tc>
          <w:tcPr>
            <w:tcW w:w="2411" w:type="dxa"/>
          </w:tcPr>
          <w:p w:rsidR="00001AEA" w:rsidRPr="001C6019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ე) კონკურსის წესით შერჩეული და მხარდაჭერილი სასკოლო კლუბების რაოდენობა 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მიზნობრივი პროგრამის მონაცემთა ბაზა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</w:tr>
      <w:tr w:rsidR="00001AEA" w:rsidRPr="00B25C9B" w:rsidTr="004B722D">
        <w:trPr>
          <w:trHeight w:val="118"/>
        </w:trPr>
        <w:tc>
          <w:tcPr>
            <w:tcW w:w="2411" w:type="dxa"/>
          </w:tcPr>
          <w:p w:rsidR="00001AEA" w:rsidRPr="001C6019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ვ) მოსწავლეების 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>რაოდენობა, რომლებიც შეირჩევიან აკადემიური კონკურსის საფუძველზე და მონაწილეობას მიიღებენ მოსწავლეთა გაცვლის მიზნობრივ პროგრამაში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მინისტრის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მაოდგილე</w:t>
            </w:r>
          </w:p>
        </w:tc>
        <w:tc>
          <w:tcPr>
            <w:tcW w:w="1701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განთლებისა და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მიზნობრივი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პროგრამის მონაცემთა ბაზა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განთლებისა და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სტრატეგიული დაგეგმვის დეპარატმენტის უფროსი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2012, 2013 და 2014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განთლებისა და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სტრატეგიული დაგეგმვის დეპარატმენტის უფროსი</w:t>
            </w:r>
          </w:p>
        </w:tc>
      </w:tr>
      <w:tr w:rsidR="00001AEA" w:rsidRPr="00B25C9B" w:rsidTr="00ED641C">
        <w:trPr>
          <w:trHeight w:val="118"/>
        </w:trPr>
        <w:tc>
          <w:tcPr>
            <w:tcW w:w="15121" w:type="dxa"/>
            <w:gridSpan w:val="8"/>
          </w:tcPr>
          <w:p w:rsidR="00001AEA" w:rsidRDefault="00001AEA" w:rsidP="0049426A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lang w:val="ka-GE"/>
              </w:rPr>
              <w:lastRenderedPageBreak/>
              <w:t>შ</w:t>
            </w:r>
            <w:r w:rsidRPr="005975EE">
              <w:rPr>
                <w:rFonts w:ascii="Sylfaen" w:hAnsi="Sylfaen" w:cs="Sylfaen"/>
                <w:b/>
                <w:sz w:val="20"/>
                <w:lang w:val="ka-GE"/>
              </w:rPr>
              <w:t xml:space="preserve">ედეგი </w:t>
            </w:r>
            <w:r>
              <w:rPr>
                <w:rFonts w:ascii="Sylfaen" w:hAnsi="Sylfaen" w:cs="Sylfaen"/>
                <w:b/>
                <w:sz w:val="20"/>
                <w:lang w:val="ka-GE"/>
              </w:rPr>
              <w:t>1</w:t>
            </w:r>
            <w:r w:rsidRPr="005975EE">
              <w:rPr>
                <w:rFonts w:ascii="Sylfaen" w:hAnsi="Sylfaen" w:cs="Sylfaen"/>
                <w:b/>
                <w:sz w:val="20"/>
                <w:lang w:val="ka-GE"/>
              </w:rPr>
              <w:t xml:space="preserve">.2: </w:t>
            </w:r>
            <w:r w:rsidRPr="005975EE">
              <w:rPr>
                <w:rFonts w:ascii="Sylfaen" w:hAnsi="Sylfaen" w:cs="Sylfaen"/>
                <w:b/>
                <w:sz w:val="20"/>
              </w:rPr>
              <w:t>განათლების</w:t>
            </w:r>
            <w:r w:rsidRPr="005975EE">
              <w:rPr>
                <w:b/>
                <w:sz w:val="20"/>
              </w:rPr>
              <w:t xml:space="preserve"> </w:t>
            </w:r>
            <w:r w:rsidRPr="005975EE">
              <w:rPr>
                <w:rFonts w:ascii="Sylfaen" w:hAnsi="Sylfaen" w:cs="Sylfaen"/>
                <w:b/>
                <w:sz w:val="20"/>
              </w:rPr>
              <w:t>ხელმისაწვდომობის</w:t>
            </w:r>
            <w:r w:rsidRPr="005975EE">
              <w:rPr>
                <w:b/>
                <w:sz w:val="20"/>
              </w:rPr>
              <w:t xml:space="preserve"> </w:t>
            </w:r>
            <w:r w:rsidRPr="005975EE">
              <w:rPr>
                <w:rFonts w:ascii="Sylfaen" w:hAnsi="Sylfaen" w:cs="Sylfaen"/>
                <w:b/>
                <w:sz w:val="20"/>
              </w:rPr>
              <w:t>გაზრდა</w:t>
            </w:r>
          </w:p>
        </w:tc>
      </w:tr>
      <w:tr w:rsidR="00001AEA" w:rsidRPr="00B25C9B" w:rsidTr="004B722D">
        <w:trPr>
          <w:trHeight w:val="118"/>
        </w:trPr>
        <w:tc>
          <w:tcPr>
            <w:tcW w:w="2411" w:type="dxa"/>
          </w:tcPr>
          <w:p w:rsidR="00001AEA" w:rsidRPr="001C6019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ა) მოსწავლეთა რაოდენობა, რომლებიც უზრუნველყოფილნი არიან საპანსიონო მომსახურებით 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მიზნობრივი პროგრამის მონაცემთა ბაზა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</w:tr>
      <w:tr w:rsidR="00001AEA" w:rsidRPr="00B25C9B" w:rsidTr="004B722D">
        <w:trPr>
          <w:trHeight w:val="118"/>
        </w:trPr>
        <w:tc>
          <w:tcPr>
            <w:tcW w:w="2411" w:type="dxa"/>
          </w:tcPr>
          <w:p w:rsidR="00001AEA" w:rsidRPr="001C6019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ბ) მოსწავლეთა რაოდენობა, რომლებიც სარგებლობენ ინკლუზიური განათლების პროგრამით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მიზნობრივი პროგრამის მონაცემთა ბაზა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</w:tr>
      <w:tr w:rsidR="00001AEA" w:rsidRPr="00B25C9B" w:rsidTr="00F563D3">
        <w:trPr>
          <w:trHeight w:val="118"/>
        </w:trPr>
        <w:tc>
          <w:tcPr>
            <w:tcW w:w="15121" w:type="dxa"/>
            <w:gridSpan w:val="8"/>
          </w:tcPr>
          <w:p w:rsidR="00001AEA" w:rsidRPr="0049426A" w:rsidRDefault="00001AEA" w:rsidP="000A403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9426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შედეგი 9.3: </w:t>
            </w:r>
            <w:r w:rsidRPr="0049426A">
              <w:rPr>
                <w:rFonts w:ascii="Sylfaen" w:hAnsi="Sylfaen" w:cs="Sylfaen"/>
                <w:b/>
                <w:sz w:val="20"/>
                <w:szCs w:val="20"/>
              </w:rPr>
              <w:t>ზოგადსაგანმანათლებლო</w:t>
            </w:r>
            <w:r w:rsidRPr="0049426A">
              <w:rPr>
                <w:b/>
                <w:sz w:val="20"/>
                <w:szCs w:val="20"/>
              </w:rPr>
              <w:t xml:space="preserve"> </w:t>
            </w:r>
            <w:r w:rsidRPr="0049426A">
              <w:rPr>
                <w:rFonts w:ascii="Sylfaen" w:hAnsi="Sylfaen" w:cs="Sylfaen"/>
                <w:b/>
                <w:sz w:val="20"/>
                <w:szCs w:val="20"/>
              </w:rPr>
              <w:t>სკოლების</w:t>
            </w:r>
            <w:r w:rsidRPr="0049426A">
              <w:rPr>
                <w:b/>
                <w:sz w:val="20"/>
                <w:szCs w:val="20"/>
              </w:rPr>
              <w:t xml:space="preserve"> </w:t>
            </w:r>
            <w:r w:rsidRPr="0049426A">
              <w:rPr>
                <w:rFonts w:ascii="Sylfaen" w:hAnsi="Sylfaen" w:cs="Sylfaen"/>
                <w:b/>
                <w:sz w:val="20"/>
                <w:szCs w:val="20"/>
              </w:rPr>
              <w:t>ინფრასტრუქტურის</w:t>
            </w:r>
            <w:r w:rsidRPr="0049426A">
              <w:rPr>
                <w:b/>
                <w:sz w:val="20"/>
                <w:szCs w:val="20"/>
              </w:rPr>
              <w:t xml:space="preserve"> </w:t>
            </w:r>
            <w:r w:rsidRPr="0049426A">
              <w:rPr>
                <w:rFonts w:ascii="Sylfaen" w:hAnsi="Sylfaen" w:cs="Sylfaen"/>
                <w:b/>
                <w:sz w:val="20"/>
                <w:szCs w:val="20"/>
              </w:rPr>
              <w:t>გაუმჯობესება</w:t>
            </w:r>
          </w:p>
        </w:tc>
      </w:tr>
      <w:tr w:rsidR="00001AEA" w:rsidRPr="00B25C9B" w:rsidTr="004B722D">
        <w:trPr>
          <w:trHeight w:val="118"/>
        </w:trPr>
        <w:tc>
          <w:tcPr>
            <w:tcW w:w="2411" w:type="dxa"/>
          </w:tcPr>
          <w:p w:rsidR="00001AEA" w:rsidRPr="001C6019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4"/>
                <w:lang w:val="ka-GE"/>
              </w:rPr>
              <w:t>ა) აჭარის ავტონომიური რესპუბლიკის ადმინისტრაციულ ტერიტორიაზე არსებული სკოლების პროცენტული მაჩვენებელი, რომელთა რეაბილიტაციაც განხორციელდა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მიზნობრივი პროგრამის მონაცემთა ბაზა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</w:tr>
      <w:tr w:rsidR="00001AEA" w:rsidRPr="00B25C9B" w:rsidTr="004B722D">
        <w:trPr>
          <w:trHeight w:val="118"/>
        </w:trPr>
        <w:tc>
          <w:tcPr>
            <w:tcW w:w="2411" w:type="dxa"/>
          </w:tcPr>
          <w:p w:rsidR="00001AEA" w:rsidRPr="001C6019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ბ) საჯარო სკოლების მოსწავლეთა პროცენტული მაჩვენებელი, რომლების უზრუნველყოფაც მოხდა სასკოლო ფორმებით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მიზნობრივი პროგრამის მონაცემთა ბაზა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</w:tr>
      <w:tr w:rsidR="00001AEA" w:rsidRPr="00B25C9B" w:rsidTr="004B722D">
        <w:trPr>
          <w:trHeight w:val="118"/>
        </w:trPr>
        <w:tc>
          <w:tcPr>
            <w:tcW w:w="2411" w:type="dxa"/>
          </w:tcPr>
          <w:p w:rsidR="00001AEA" w:rsidRPr="001C6019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გ) რეგიონში რეაბილიტირებული თითოეული სკოლა 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 xml:space="preserve">აღჭურვილია თანამედროვე ერთადგილიანი მერხებით, ასევე, სასკოლო დაფებით, საბუნებისმეტყველო ლაბორატორიებითა და მასწავლებლების კუთხეებით 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2012, 2013 და 2014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მინისტრის მაოდგილე</w:t>
            </w:r>
          </w:p>
        </w:tc>
        <w:tc>
          <w:tcPr>
            <w:tcW w:w="1701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განთლებისა და სტრატეგიული დაგეგმვის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დეპარატმენტი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მიზნობრივი პროგრამის მონაცემთა ბაზა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განთლებისა და სტრატეგიული დაგეგმვის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დეპარატმენტის უფროსი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2012, 2013 და 2014 წლების ექვსი თვისა და წლიური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ანგარიშები</w:t>
            </w:r>
          </w:p>
        </w:tc>
        <w:tc>
          <w:tcPr>
            <w:tcW w:w="1795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განთლებისა და სტრატეგიული დაგეგმვის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დეპარატმენტის უფროსი</w:t>
            </w:r>
          </w:p>
        </w:tc>
      </w:tr>
      <w:tr w:rsidR="00001AEA" w:rsidRPr="00B25C9B" w:rsidTr="0049426A">
        <w:trPr>
          <w:trHeight w:val="93"/>
        </w:trPr>
        <w:tc>
          <w:tcPr>
            <w:tcW w:w="2411" w:type="dxa"/>
          </w:tcPr>
          <w:p w:rsidR="00001AEA" w:rsidRPr="001C6019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 xml:space="preserve">დ) აჭარაში არსებული სკოლა პანსიონების რაოდენობა, რომელთა რეაბილიტაციაც განხორციელდა 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მიზნობრივი პროგრამის მონაცემთა ბაზა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</w:tr>
      <w:tr w:rsidR="00001AEA" w:rsidRPr="00B25C9B" w:rsidTr="005B7D96">
        <w:trPr>
          <w:trHeight w:val="91"/>
        </w:trPr>
        <w:tc>
          <w:tcPr>
            <w:tcW w:w="15121" w:type="dxa"/>
            <w:gridSpan w:val="8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6929EA">
              <w:rPr>
                <w:rFonts w:ascii="Sylfaen" w:hAnsi="Sylfaen" w:cs="Sylfaen"/>
                <w:b/>
                <w:sz w:val="20"/>
                <w:lang w:val="ka-GE"/>
              </w:rPr>
              <w:t xml:space="preserve">შედეგი </w:t>
            </w:r>
            <w:r>
              <w:rPr>
                <w:rFonts w:ascii="Sylfaen" w:hAnsi="Sylfaen" w:cs="Sylfaen"/>
                <w:b/>
                <w:sz w:val="20"/>
                <w:lang w:val="ka-GE"/>
              </w:rPr>
              <w:t>1</w:t>
            </w:r>
            <w:r w:rsidRPr="006929EA">
              <w:rPr>
                <w:rFonts w:ascii="Sylfaen" w:hAnsi="Sylfaen" w:cs="Sylfaen"/>
                <w:b/>
                <w:sz w:val="20"/>
                <w:lang w:val="ka-GE"/>
              </w:rPr>
              <w:t xml:space="preserve">.4: </w:t>
            </w:r>
            <w:r w:rsidRPr="006929EA">
              <w:rPr>
                <w:rFonts w:ascii="Sylfaen" w:hAnsi="Sylfaen" w:cs="Sylfaen"/>
                <w:b/>
                <w:sz w:val="20"/>
              </w:rPr>
              <w:t>პროფესიული</w:t>
            </w:r>
            <w:r w:rsidRPr="006929EA">
              <w:rPr>
                <w:b/>
                <w:sz w:val="20"/>
              </w:rPr>
              <w:t xml:space="preserve"> </w:t>
            </w:r>
            <w:r w:rsidRPr="006929EA">
              <w:rPr>
                <w:rFonts w:ascii="Sylfaen" w:hAnsi="Sylfaen" w:cs="Sylfaen"/>
                <w:b/>
                <w:sz w:val="20"/>
              </w:rPr>
              <w:t>და</w:t>
            </w:r>
            <w:r w:rsidRPr="006929EA">
              <w:rPr>
                <w:b/>
                <w:sz w:val="20"/>
              </w:rPr>
              <w:t xml:space="preserve"> </w:t>
            </w:r>
            <w:r w:rsidRPr="006929EA">
              <w:rPr>
                <w:rFonts w:ascii="Sylfaen" w:hAnsi="Sylfaen" w:cs="Sylfaen"/>
                <w:b/>
                <w:sz w:val="20"/>
              </w:rPr>
              <w:t>უმაღლესი</w:t>
            </w:r>
            <w:r w:rsidRPr="006929EA">
              <w:rPr>
                <w:b/>
                <w:sz w:val="20"/>
              </w:rPr>
              <w:t xml:space="preserve"> </w:t>
            </w:r>
            <w:r w:rsidRPr="006929EA">
              <w:rPr>
                <w:rFonts w:ascii="Sylfaen" w:hAnsi="Sylfaen" w:cs="Sylfaen"/>
                <w:b/>
                <w:sz w:val="20"/>
              </w:rPr>
              <w:t>განათლების</w:t>
            </w:r>
            <w:r w:rsidRPr="006929EA">
              <w:rPr>
                <w:b/>
                <w:sz w:val="20"/>
              </w:rPr>
              <w:t xml:space="preserve"> </w:t>
            </w:r>
            <w:r w:rsidRPr="006929EA">
              <w:rPr>
                <w:rFonts w:ascii="Sylfaen" w:hAnsi="Sylfaen" w:cs="Sylfaen"/>
                <w:b/>
                <w:sz w:val="20"/>
              </w:rPr>
              <w:t>რეგიონის</w:t>
            </w:r>
            <w:r w:rsidRPr="006929EA">
              <w:rPr>
                <w:b/>
                <w:sz w:val="20"/>
              </w:rPr>
              <w:t xml:space="preserve"> </w:t>
            </w:r>
            <w:r w:rsidRPr="006929EA">
              <w:rPr>
                <w:rFonts w:ascii="Sylfaen" w:hAnsi="Sylfaen" w:cs="Sylfaen"/>
                <w:b/>
                <w:sz w:val="20"/>
              </w:rPr>
              <w:t>საჭიროებებზე</w:t>
            </w:r>
            <w:r w:rsidRPr="006929EA">
              <w:rPr>
                <w:b/>
                <w:sz w:val="20"/>
              </w:rPr>
              <w:t xml:space="preserve"> </w:t>
            </w:r>
            <w:r w:rsidRPr="006929EA">
              <w:rPr>
                <w:rFonts w:ascii="Sylfaen" w:hAnsi="Sylfaen" w:cs="Sylfaen"/>
                <w:b/>
                <w:sz w:val="20"/>
              </w:rPr>
              <w:t>ორიენტირება</w:t>
            </w:r>
          </w:p>
        </w:tc>
      </w:tr>
      <w:tr w:rsidR="00001AEA" w:rsidRPr="00B25C9B" w:rsidTr="004B722D">
        <w:trPr>
          <w:trHeight w:val="91"/>
        </w:trPr>
        <w:tc>
          <w:tcPr>
            <w:tcW w:w="2411" w:type="dxa"/>
          </w:tcPr>
          <w:p w:rsidR="00001AEA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ა) სტუდენტთა რაოდენობა, რომლებმაც ისარგებლეს სტუდენტთა დახმარების პროგრამით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მიზნობრივი პროგრამის მონაცემთა ბაზა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</w:tr>
      <w:tr w:rsidR="00001AEA" w:rsidRPr="00B25C9B" w:rsidTr="004B722D">
        <w:trPr>
          <w:trHeight w:val="91"/>
        </w:trPr>
        <w:tc>
          <w:tcPr>
            <w:tcW w:w="2411" w:type="dxa"/>
          </w:tcPr>
          <w:p w:rsidR="00001AEA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ბ) სტუდენტების უცხოეთში სწავლის პროგრამის ფარგლებში ყოველწლიურად ჩართული სტუდენტების რაოდენობა 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მიზნობრივი პროგრამის მონაცემთა ბაზა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</w:tr>
      <w:tr w:rsidR="00001AEA" w:rsidRPr="00B25C9B" w:rsidTr="004B722D">
        <w:trPr>
          <w:trHeight w:val="91"/>
        </w:trPr>
        <w:tc>
          <w:tcPr>
            <w:tcW w:w="2411" w:type="dxa"/>
          </w:tcPr>
          <w:p w:rsidR="00001AEA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დ) უცხოეთში სტაჟირების მიზნობრივი პროგრამაში ჩართული მონაწილეების რაოდენობა 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მიზნობრივი პროგრამის მონაცემთა ბაზა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</w:tr>
      <w:tr w:rsidR="00001AEA" w:rsidRPr="00B25C9B" w:rsidTr="00297585">
        <w:trPr>
          <w:trHeight w:val="91"/>
        </w:trPr>
        <w:tc>
          <w:tcPr>
            <w:tcW w:w="15121" w:type="dxa"/>
            <w:gridSpan w:val="8"/>
          </w:tcPr>
          <w:p w:rsidR="00001AEA" w:rsidRDefault="00001AEA" w:rsidP="0052314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B100EB"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t xml:space="preserve">შედეგი </w:t>
            </w:r>
            <w:r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t>1</w:t>
            </w:r>
            <w:r w:rsidRPr="00B100EB"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t>.5</w:t>
            </w:r>
            <w:r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t>:</w:t>
            </w:r>
            <w:r w:rsidRPr="00B100EB"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B100EB">
              <w:rPr>
                <w:rFonts w:ascii="Sylfaen" w:hAnsi="Sylfaen" w:cs="Sylfaen"/>
                <w:b/>
                <w:sz w:val="20"/>
                <w:szCs w:val="20"/>
              </w:rPr>
              <w:t>უწყვეტი</w:t>
            </w:r>
            <w:r w:rsidRPr="00B100EB">
              <w:rPr>
                <w:b/>
                <w:sz w:val="20"/>
                <w:szCs w:val="20"/>
              </w:rPr>
              <w:t xml:space="preserve"> </w:t>
            </w:r>
            <w:r w:rsidRPr="00B100EB">
              <w:rPr>
                <w:rFonts w:ascii="Sylfaen" w:hAnsi="Sylfaen" w:cs="Sylfaen"/>
                <w:b/>
                <w:sz w:val="20"/>
                <w:szCs w:val="20"/>
              </w:rPr>
              <w:t>განათლების</w:t>
            </w:r>
            <w:r w:rsidRPr="00B100EB">
              <w:rPr>
                <w:b/>
                <w:sz w:val="20"/>
                <w:szCs w:val="20"/>
              </w:rPr>
              <w:t xml:space="preserve"> </w:t>
            </w:r>
            <w:r w:rsidRPr="00B100EB">
              <w:rPr>
                <w:rFonts w:ascii="Sylfaen" w:hAnsi="Sylfaen" w:cs="Sylfaen"/>
                <w:b/>
                <w:sz w:val="20"/>
                <w:szCs w:val="20"/>
              </w:rPr>
              <w:t>ხელშეწყობის</w:t>
            </w:r>
            <w:r w:rsidRPr="00B100EB">
              <w:rPr>
                <w:b/>
                <w:sz w:val="20"/>
                <w:szCs w:val="20"/>
              </w:rPr>
              <w:t xml:space="preserve"> </w:t>
            </w:r>
            <w:r w:rsidRPr="00B100EB">
              <w:rPr>
                <w:rFonts w:ascii="Sylfaen" w:hAnsi="Sylfaen" w:cs="Sylfaen"/>
                <w:b/>
                <w:sz w:val="20"/>
                <w:szCs w:val="20"/>
              </w:rPr>
              <w:t>პროგრამა</w:t>
            </w:r>
          </w:p>
        </w:tc>
      </w:tr>
      <w:tr w:rsidR="00001AEA" w:rsidRPr="00B25C9B" w:rsidTr="004B722D">
        <w:trPr>
          <w:trHeight w:val="91"/>
        </w:trPr>
        <w:tc>
          <w:tcPr>
            <w:tcW w:w="2411" w:type="dxa"/>
          </w:tcPr>
          <w:p w:rsidR="00001AEA" w:rsidRPr="001C6019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ა) მომხმარებელთა რაოდენობა, რომლებმაც ისარგებლეს უწყვეტი განათლების პროგრამის 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 xml:space="preserve">ფარგლებში გაწეული მომსახურებით 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2012, 2013 და 2014 წლის ივნისი,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მინისტრის მაოდგილე</w:t>
            </w:r>
          </w:p>
        </w:tc>
        <w:tc>
          <w:tcPr>
            <w:tcW w:w="1701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მიზნობრივი პროგრამის მონაცემთა ბაზა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განთლებისა და სტრატეგიული დაგეგმვის დეპარატმენტის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უფროსი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განთლებისა და სტრატეგიული დაგეგმვის დეპარატმენტის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უფროსი</w:t>
            </w:r>
          </w:p>
        </w:tc>
      </w:tr>
      <w:tr w:rsidR="00001AEA" w:rsidRPr="00B25C9B" w:rsidTr="004B722D">
        <w:trPr>
          <w:trHeight w:val="91"/>
        </w:trPr>
        <w:tc>
          <w:tcPr>
            <w:tcW w:w="2411" w:type="dxa"/>
          </w:tcPr>
          <w:p w:rsidR="00001AEA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 xml:space="preserve">ბ) განახლებული და დანერგილი ტურიზმის სფეროში მართვისა და მომსახურების სასწავლო პროგრამა-კურიკულუმების რაოდენობა 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მიზნობრივი პროგრამის მონაცემთა ბაზა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</w:tr>
      <w:tr w:rsidR="00001AEA" w:rsidRPr="00B25C9B" w:rsidTr="002C5C16">
        <w:trPr>
          <w:trHeight w:val="91"/>
        </w:trPr>
        <w:tc>
          <w:tcPr>
            <w:tcW w:w="15121" w:type="dxa"/>
            <w:gridSpan w:val="8"/>
          </w:tcPr>
          <w:p w:rsidR="00001AEA" w:rsidRDefault="00001AEA" w:rsidP="000A55A7">
            <w:pPr>
              <w:rPr>
                <w:rFonts w:ascii="Sylfaen" w:hAnsi="Sylfaen" w:cstheme="minorHAnsi"/>
                <w:color w:val="000000" w:themeColor="text1"/>
                <w:szCs w:val="18"/>
                <w:lang w:val="ka-GE"/>
              </w:rPr>
            </w:pPr>
          </w:p>
          <w:p w:rsidR="00001AEA" w:rsidRPr="0044724B" w:rsidRDefault="00001AEA" w:rsidP="000A55A7">
            <w:pPr>
              <w:rPr>
                <w:rFonts w:ascii="Sylfaen" w:hAnsi="Sylfaen"/>
                <w:b/>
                <w:szCs w:val="18"/>
                <w:lang w:val="ka-GE"/>
              </w:rPr>
            </w:pPr>
            <w:r w:rsidRPr="0044724B">
              <w:rPr>
                <w:rFonts w:ascii="Sylfaen" w:hAnsi="Sylfaen" w:cstheme="minorHAnsi"/>
                <w:b/>
                <w:color w:val="1F497D" w:themeColor="text2"/>
                <w:szCs w:val="18"/>
                <w:lang w:val="ka-GE"/>
              </w:rPr>
              <w:t xml:space="preserve">საქმიანობის სფერო 2: კულტურა </w:t>
            </w:r>
          </w:p>
        </w:tc>
      </w:tr>
      <w:tr w:rsidR="00001AEA" w:rsidRPr="00B25C9B" w:rsidTr="00115C0E">
        <w:trPr>
          <w:trHeight w:val="91"/>
        </w:trPr>
        <w:tc>
          <w:tcPr>
            <w:tcW w:w="15121" w:type="dxa"/>
            <w:gridSpan w:val="8"/>
          </w:tcPr>
          <w:p w:rsidR="00001AEA" w:rsidRPr="00B25C9B" w:rsidRDefault="00001AEA" w:rsidP="0044724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387587"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t>შედეგი</w:t>
            </w:r>
            <w:r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t xml:space="preserve"> 2</w:t>
            </w:r>
            <w:r w:rsidRPr="00387587"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t>1</w:t>
            </w:r>
            <w:r w:rsidRPr="00387587"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t xml:space="preserve">: 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აჭარის</w:t>
            </w:r>
            <w:r w:rsidRPr="00387587">
              <w:rPr>
                <w:b/>
                <w:sz w:val="20"/>
                <w:szCs w:val="20"/>
              </w:rPr>
              <w:t xml:space="preserve"> 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კულტურული</w:t>
            </w:r>
            <w:r w:rsidRPr="00387587">
              <w:rPr>
                <w:b/>
                <w:sz w:val="20"/>
                <w:szCs w:val="20"/>
              </w:rPr>
              <w:t xml:space="preserve"> 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მემკვიდრეობის</w:t>
            </w:r>
            <w:r w:rsidRPr="00387587">
              <w:rPr>
                <w:b/>
                <w:sz w:val="20"/>
                <w:szCs w:val="20"/>
              </w:rPr>
              <w:t xml:space="preserve"> 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დაცვა</w:t>
            </w:r>
            <w:r w:rsidRPr="00387587">
              <w:rPr>
                <w:b/>
                <w:sz w:val="20"/>
                <w:szCs w:val="20"/>
              </w:rPr>
              <w:t>-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შენარჩუნება</w:t>
            </w:r>
            <w:r w:rsidRPr="00387587">
              <w:rPr>
                <w:b/>
                <w:sz w:val="20"/>
                <w:szCs w:val="20"/>
              </w:rPr>
              <w:t xml:space="preserve">, 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პოპულარიზაცია</w:t>
            </w:r>
            <w:r w:rsidRPr="00387587">
              <w:rPr>
                <w:b/>
                <w:sz w:val="20"/>
                <w:szCs w:val="20"/>
              </w:rPr>
              <w:t xml:space="preserve"> 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Pr="00387587">
              <w:rPr>
                <w:b/>
                <w:sz w:val="20"/>
                <w:szCs w:val="20"/>
              </w:rPr>
              <w:t xml:space="preserve"> 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აჭარის</w:t>
            </w:r>
            <w:r w:rsidRPr="00387587">
              <w:rPr>
                <w:b/>
                <w:sz w:val="20"/>
                <w:szCs w:val="20"/>
              </w:rPr>
              <w:t xml:space="preserve"> 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ტერიტორიაზე</w:t>
            </w:r>
            <w:r w:rsidRPr="00387587">
              <w:rPr>
                <w:b/>
                <w:sz w:val="20"/>
                <w:szCs w:val="20"/>
              </w:rPr>
              <w:t xml:space="preserve"> 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არსებული</w:t>
            </w:r>
            <w:r w:rsidRPr="00387587">
              <w:rPr>
                <w:b/>
                <w:sz w:val="20"/>
                <w:szCs w:val="20"/>
              </w:rPr>
              <w:t xml:space="preserve"> 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კულტურული</w:t>
            </w:r>
            <w:r w:rsidRPr="00387587">
              <w:rPr>
                <w:b/>
                <w:sz w:val="20"/>
                <w:szCs w:val="20"/>
              </w:rPr>
              <w:t xml:space="preserve"> 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მემკვიდრეობის</w:t>
            </w:r>
            <w:r w:rsidRPr="00387587">
              <w:rPr>
                <w:b/>
                <w:sz w:val="20"/>
                <w:szCs w:val="20"/>
              </w:rPr>
              <w:t xml:space="preserve"> 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ძეგლების</w:t>
            </w:r>
            <w:r w:rsidRPr="00387587">
              <w:rPr>
                <w:b/>
                <w:sz w:val="20"/>
                <w:szCs w:val="20"/>
              </w:rPr>
              <w:t xml:space="preserve"> 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ერთიანი</w:t>
            </w:r>
            <w:r w:rsidRPr="00387587">
              <w:rPr>
                <w:b/>
                <w:sz w:val="20"/>
                <w:szCs w:val="20"/>
              </w:rPr>
              <w:t xml:space="preserve"> 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საინფორმაციო</w:t>
            </w:r>
            <w:r w:rsidRPr="00387587">
              <w:rPr>
                <w:b/>
                <w:sz w:val="20"/>
                <w:szCs w:val="20"/>
              </w:rPr>
              <w:t xml:space="preserve"> 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ბაზის</w:t>
            </w:r>
            <w:r w:rsidRPr="00387587">
              <w:rPr>
                <w:b/>
                <w:sz w:val="20"/>
                <w:szCs w:val="20"/>
              </w:rPr>
              <w:t xml:space="preserve"> </w:t>
            </w:r>
            <w:r w:rsidRPr="00387587">
              <w:rPr>
                <w:rFonts w:ascii="Sylfaen" w:hAnsi="Sylfaen" w:cs="Sylfaen"/>
                <w:b/>
                <w:sz w:val="20"/>
                <w:szCs w:val="20"/>
              </w:rPr>
              <w:t>გაუმჯობესება</w:t>
            </w:r>
          </w:p>
        </w:tc>
      </w:tr>
      <w:tr w:rsidR="00001AEA" w:rsidRPr="00B25C9B" w:rsidTr="0044724B">
        <w:trPr>
          <w:trHeight w:val="20"/>
        </w:trPr>
        <w:tc>
          <w:tcPr>
            <w:tcW w:w="2411" w:type="dxa"/>
          </w:tcPr>
          <w:p w:rsidR="00001AEA" w:rsidRPr="001C6019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ა) რესტრავრირებული კულტურული ძეგლების რაოდენობა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კულტურული მემკვიდრეობის დაცვის სააგენტო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შესრულებული საერსტავრაციო სამუშაოების მიღება-ჩაბარების აქტები</w:t>
            </w:r>
          </w:p>
        </w:tc>
        <w:tc>
          <w:tcPr>
            <w:tcW w:w="1843" w:type="dxa"/>
          </w:tcPr>
          <w:p w:rsidR="00001AEA" w:rsidRPr="00BE608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BE608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</w:tr>
      <w:tr w:rsidR="00001AEA" w:rsidRPr="00B25C9B" w:rsidTr="00F35157">
        <w:trPr>
          <w:trHeight w:val="20"/>
        </w:trPr>
        <w:tc>
          <w:tcPr>
            <w:tcW w:w="15121" w:type="dxa"/>
            <w:gridSpan w:val="8"/>
          </w:tcPr>
          <w:p w:rsidR="00001AEA" w:rsidRPr="00D03172" w:rsidRDefault="00001AEA" w:rsidP="0044724B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3172"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t>შედეგი</w:t>
            </w:r>
            <w:r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t xml:space="preserve"> 2</w:t>
            </w:r>
            <w:r w:rsidRPr="00D03172"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t>2</w:t>
            </w:r>
            <w:r w:rsidRPr="00D03172"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t xml:space="preserve">: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აჭარის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მუზეუმების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გალერეების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მოდერნიზება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პროგრამული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განვითარება</w:t>
            </w:r>
          </w:p>
        </w:tc>
      </w:tr>
      <w:tr w:rsidR="00001AEA" w:rsidRPr="00B25C9B" w:rsidTr="0044724B">
        <w:trPr>
          <w:trHeight w:val="20"/>
        </w:trPr>
        <w:tc>
          <w:tcPr>
            <w:tcW w:w="2411" w:type="dxa"/>
          </w:tcPr>
          <w:p w:rsidR="00001AEA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ა) ყოველწლიურად  მუზემებში ვიზიტორთა ზრდის პროცენტული მაჩვენებელი წინა წლის მონაცემებთან შედარებით 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კულტურული მემკვიდრეობის დაცვის სააგენტო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001AEA" w:rsidRPr="00BE608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BE608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</w:tr>
      <w:tr w:rsidR="00001AEA" w:rsidRPr="00B25C9B" w:rsidTr="0044724B">
        <w:trPr>
          <w:trHeight w:val="20"/>
        </w:trPr>
        <w:tc>
          <w:tcPr>
            <w:tcW w:w="2411" w:type="dxa"/>
          </w:tcPr>
          <w:p w:rsidR="00001AEA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ბ) წლის განმავლობაში მუზეუმებში მოწყობილი გამოფენების რაოდენობა 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აჭარის ხარიტონ ახვლედიანის სახელობის მუზეუმი;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ბათუმის არქეოლოგიური მუზეუმი;</w:t>
            </w:r>
          </w:p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აჭარის ხელოვნების მუზეუმი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001AEA" w:rsidRPr="00BE608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BE608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</w:tr>
      <w:tr w:rsidR="00001AEA" w:rsidRPr="00B25C9B" w:rsidTr="0044724B">
        <w:trPr>
          <w:trHeight w:val="20"/>
        </w:trPr>
        <w:tc>
          <w:tcPr>
            <w:tcW w:w="2411" w:type="dxa"/>
          </w:tcPr>
          <w:p w:rsidR="00001AEA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 xml:space="preserve">გ) ახალი მუზეუმების რაოდენობა 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01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კულტურული მემკვიდრეობის დაცვის სააგენტო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შესრულებული სამუშაოების მიღება-ჩაბარების აქტები</w:t>
            </w:r>
          </w:p>
        </w:tc>
        <w:tc>
          <w:tcPr>
            <w:tcW w:w="1843" w:type="dxa"/>
          </w:tcPr>
          <w:p w:rsidR="00001AEA" w:rsidRPr="00BE608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BE608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</w:tr>
      <w:tr w:rsidR="00001AEA" w:rsidRPr="00B25C9B" w:rsidTr="00433893">
        <w:trPr>
          <w:trHeight w:val="20"/>
        </w:trPr>
        <w:tc>
          <w:tcPr>
            <w:tcW w:w="15121" w:type="dxa"/>
            <w:gridSpan w:val="8"/>
          </w:tcPr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D03172"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t>შედეგი</w:t>
            </w:r>
            <w:r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t xml:space="preserve"> 2.3</w:t>
            </w:r>
            <w:r w:rsidRPr="00D03172"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t xml:space="preserve">: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ფოლკლორის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ხალხური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შემოქმედების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ხელშეწყობა</w:t>
            </w:r>
            <w:r w:rsidRPr="00D03172">
              <w:rPr>
                <w:b/>
                <w:sz w:val="20"/>
                <w:szCs w:val="20"/>
              </w:rPr>
              <w:t xml:space="preserve">,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შენარჩუნება</w:t>
            </w:r>
            <w:r w:rsidRPr="00D03172">
              <w:rPr>
                <w:b/>
                <w:sz w:val="20"/>
                <w:szCs w:val="20"/>
              </w:rPr>
              <w:t xml:space="preserve">,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პოპულარიზაცია</w:t>
            </w:r>
          </w:p>
        </w:tc>
      </w:tr>
      <w:tr w:rsidR="00001AEA" w:rsidRPr="00B25C9B" w:rsidTr="0044724B">
        <w:trPr>
          <w:trHeight w:val="20"/>
        </w:trPr>
        <w:tc>
          <w:tcPr>
            <w:tcW w:w="2411" w:type="dxa"/>
          </w:tcPr>
          <w:p w:rsidR="00001AEA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ა) სამინისტროს მიერ შემუშავებული შერჩევის კრიტერიუმების საფუძველზე ყოველწლიურად გამოვლენილი ფოლკლორული კოლექტივების რაოდენობა, რომელთა აღჭურვა ინსტრუმენტებითა და მომარაგება სასცენო კოსტიუმებით განხორციელდა შესაბამისი პროგრამის ფარგლებში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კულტურის დეპარტამენტი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ფინანსური დოკუმენტაცია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კულტურის დეპარტამენტის უფროსი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BE608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</w:tr>
      <w:tr w:rsidR="00001AEA" w:rsidRPr="00B25C9B" w:rsidTr="00541D8D">
        <w:trPr>
          <w:trHeight w:val="20"/>
        </w:trPr>
        <w:tc>
          <w:tcPr>
            <w:tcW w:w="15121" w:type="dxa"/>
            <w:gridSpan w:val="8"/>
          </w:tcPr>
          <w:p w:rsidR="00001AEA" w:rsidRPr="00D03172" w:rsidRDefault="00001AEA" w:rsidP="0044724B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0317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შედეგი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2</w:t>
            </w:r>
            <w:r w:rsidRPr="00D0317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4</w:t>
            </w:r>
            <w:r w:rsidRPr="00D0317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: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სახვითი</w:t>
            </w:r>
            <w:r w:rsidRPr="00D03172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გამოყენებითი</w:t>
            </w:r>
            <w:r w:rsidRPr="00D0317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Pr="00D0317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მულტიმედიური</w:t>
            </w:r>
            <w:r w:rsidRPr="00D0317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ხელოვნების</w:t>
            </w:r>
            <w:r w:rsidRPr="00D0317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ხელშეწყობა</w:t>
            </w:r>
            <w:r w:rsidRPr="00D0317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Pr="00D0317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მისი</w:t>
            </w:r>
            <w:r w:rsidRPr="00D0317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შემდგომი</w:t>
            </w:r>
            <w:r w:rsidRPr="00D0317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პოპულიარიზაცია</w:t>
            </w:r>
          </w:p>
        </w:tc>
      </w:tr>
      <w:tr w:rsidR="00001AEA" w:rsidRPr="00B25C9B" w:rsidTr="0044724B">
        <w:trPr>
          <w:trHeight w:val="20"/>
        </w:trPr>
        <w:tc>
          <w:tcPr>
            <w:tcW w:w="2411" w:type="dxa"/>
          </w:tcPr>
          <w:p w:rsidR="00001AEA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ა) მხატრვრული და/ან დოკუმენტური ფილმების რაოდენობა, რომელთა გადაღება/წარმოება რეგიონში განხორციელდა განათლების, კულტურისა და სპორტის სამინისტროს თანადაფინანსებით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კულტურის დეპარტამენტი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ფინანსური დოკუმენტაცია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001AEA" w:rsidRPr="00BE608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BE608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</w:tr>
      <w:tr w:rsidR="00001AEA" w:rsidRPr="00B25C9B" w:rsidTr="0044724B">
        <w:trPr>
          <w:trHeight w:val="20"/>
        </w:trPr>
        <w:tc>
          <w:tcPr>
            <w:tcW w:w="2411" w:type="dxa"/>
          </w:tcPr>
          <w:p w:rsidR="00001AEA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ბ) მხატვართა ადგილობრივი შემოქმედებითი კავშირის, თეატრალური საზოგადოების აჭარის 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>განყოფილებისა და მწერალთა კავშირის აჭარის ორგანიზაციის მიერ ორგანიზებული ღონისძიებების რაოდენობა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მხატვართა ადგილობრივი შემოქმედებითი კავშირი;</w:t>
            </w:r>
          </w:p>
          <w:p w:rsidR="00001AEA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თეატრალური 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>საზოგადოების აჭარის განყოფილება;</w:t>
            </w:r>
          </w:p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მწერალთა კავშირის აჭარის ორგანიზაცია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შემოქმედებითი კავშირების მიერ წარმოდგენილი ანგარიშები</w:t>
            </w:r>
          </w:p>
        </w:tc>
        <w:tc>
          <w:tcPr>
            <w:tcW w:w="1843" w:type="dxa"/>
          </w:tcPr>
          <w:p w:rsidR="00001AEA" w:rsidRPr="00BE608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BE608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</w:tr>
      <w:tr w:rsidR="00001AEA" w:rsidRPr="00B25C9B" w:rsidTr="0044724B">
        <w:trPr>
          <w:trHeight w:val="20"/>
        </w:trPr>
        <w:tc>
          <w:tcPr>
            <w:tcW w:w="2411" w:type="dxa"/>
          </w:tcPr>
          <w:p w:rsidR="00001AEA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>გ) ჭურნალი „ჭოროხი“ გამოიცემა წელიწადში ოთხჯერ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მწერალთა კავშირის აჭარის ორგანიზაცია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მწერალთა კავშირის აჭარის ორგანიზაციის მიერ წარმოდგენილი ანგარიში</w:t>
            </w:r>
          </w:p>
          <w:p w:rsidR="00001AEA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</w:p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ჟურნალ ჭოროხის ნომრები</w:t>
            </w:r>
          </w:p>
        </w:tc>
        <w:tc>
          <w:tcPr>
            <w:tcW w:w="1843" w:type="dxa"/>
          </w:tcPr>
          <w:p w:rsidR="00001AEA" w:rsidRPr="00BE608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BE608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</w:tr>
      <w:tr w:rsidR="00001AEA" w:rsidRPr="00B25C9B" w:rsidTr="005F7AC3">
        <w:trPr>
          <w:trHeight w:val="20"/>
        </w:trPr>
        <w:tc>
          <w:tcPr>
            <w:tcW w:w="15121" w:type="dxa"/>
            <w:gridSpan w:val="8"/>
          </w:tcPr>
          <w:p w:rsidR="00001AEA" w:rsidRDefault="00001AEA" w:rsidP="0044724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D03172"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t xml:space="preserve">შედეგი </w:t>
            </w:r>
            <w:r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t>2</w:t>
            </w:r>
            <w:r w:rsidRPr="00D03172"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t>5</w:t>
            </w:r>
            <w:r w:rsidRPr="00D03172"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t xml:space="preserve">: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სასცენო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სამუსიკო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დაწესებულებების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განვითარების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ხელშეწყობა</w:t>
            </w:r>
          </w:p>
        </w:tc>
      </w:tr>
      <w:tr w:rsidR="00001AEA" w:rsidRPr="00B25C9B" w:rsidTr="004B722D">
        <w:trPr>
          <w:trHeight w:val="20"/>
        </w:trPr>
        <w:tc>
          <w:tcPr>
            <w:tcW w:w="2411" w:type="dxa"/>
          </w:tcPr>
          <w:p w:rsidR="00001AEA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ა) წლის განმავლობაში რეაბილიტირებული სკოლების რაოდენობა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კულტურის დეპარტამენტი;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ფინანსური დაგეგმვის განყოფილება 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შესრულებული სამუშაოს მირება-ჩაბარების აქტები</w:t>
            </w:r>
          </w:p>
        </w:tc>
        <w:tc>
          <w:tcPr>
            <w:tcW w:w="1843" w:type="dxa"/>
          </w:tcPr>
          <w:p w:rsidR="00001AEA" w:rsidRPr="00BE608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BE608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</w:tr>
      <w:tr w:rsidR="00001AEA" w:rsidRPr="00B25C9B" w:rsidTr="004B722D">
        <w:trPr>
          <w:trHeight w:val="20"/>
        </w:trPr>
        <w:tc>
          <w:tcPr>
            <w:tcW w:w="2411" w:type="dxa"/>
          </w:tcPr>
          <w:p w:rsidR="00001AEA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ბ) ჩატარებული ღონისძიებების რაოდენობის ზრდის პროცენტული მაჩვენებელი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„ბათუმის თოჯინებისა და მოზარდმაყურებელთა სახელმწიფო თეატრი“;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„ბათუმის ილია ჭავჭავაძის სახელობის სახელმწიფო დრამატული თეატრი“;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სსიპ „ბათუმის სახელმწიფო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მუსიკალური ცენტრი“;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„აჭარის მელიტონ კუხიანიძის სახელობის სიმღერისა და ცეკვის სახელმწიფო ანსამბლი“;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აჭარის სახელმწიფო ვოკალური ანსამბლი „ბათუმი“;</w:t>
            </w:r>
          </w:p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აჭარის ხალხური ცეკვის სახელმწიფო ანსამბლი „ხორუმი“.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001AEA" w:rsidRPr="00BE608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BE608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</w:tr>
      <w:tr w:rsidR="00001AEA" w:rsidRPr="00B25C9B" w:rsidTr="004B722D">
        <w:trPr>
          <w:trHeight w:val="20"/>
        </w:trPr>
        <w:tc>
          <w:tcPr>
            <w:tcW w:w="2411" w:type="dxa"/>
          </w:tcPr>
          <w:p w:rsidR="00001AEA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>გ) მაყურებელთა რაოდენობის ზრდის პროცენტული მაჩვენებელი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„ბათუმის თოჯინებისა და მოზარდმაყურებელთა სახელმწიფო თეატრი“;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„ბათუმის ილია ჭავჭავაძის სახელობის სახელმწიფო დრამატული თეატრი“;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„ბათუმის სახელმწიფო მუსიკალური ცენტრი“;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სსიპ „აჭარის მელიტონ კუხიანიძის სახელობის სიმღერისა და ცეკვის სახელმწიფო ანსამბლი“;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აჭარის სახელმწიფო ვოკალური ანსამბლი „ბათუმი“;</w:t>
            </w:r>
          </w:p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სსიპ აჭარის ხალხური ცეკვის სახელმწიფო ანსამბლი „ხორუმი“.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001AEA" w:rsidRPr="00BE608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BE608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</w:tr>
      <w:tr w:rsidR="00001AEA" w:rsidRPr="00B25C9B" w:rsidTr="00B870E9">
        <w:trPr>
          <w:trHeight w:val="20"/>
        </w:trPr>
        <w:tc>
          <w:tcPr>
            <w:tcW w:w="15121" w:type="dxa"/>
            <w:gridSpan w:val="8"/>
          </w:tcPr>
          <w:p w:rsidR="00001AEA" w:rsidRDefault="00001AEA" w:rsidP="0044724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D0317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lastRenderedPageBreak/>
              <w:t xml:space="preserve">შედეგი 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</w:t>
            </w:r>
            <w:r w:rsidRPr="00D0317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6</w:t>
            </w:r>
            <w:r w:rsidRPr="00D0317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: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სახელოვნებო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განათლების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ხარისხის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ამაღლება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კულტურისა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ხელოვნების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სფეროს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კვალიფიციური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კადრების</w:t>
            </w:r>
            <w:r w:rsidRPr="00D03172">
              <w:rPr>
                <w:b/>
                <w:sz w:val="20"/>
                <w:szCs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  <w:szCs w:val="20"/>
              </w:rPr>
              <w:t>მომზადება</w:t>
            </w:r>
          </w:p>
        </w:tc>
      </w:tr>
      <w:tr w:rsidR="00001AEA" w:rsidRPr="00B25C9B" w:rsidTr="004B722D">
        <w:trPr>
          <w:trHeight w:val="20"/>
        </w:trPr>
        <w:tc>
          <w:tcPr>
            <w:tcW w:w="2411" w:type="dxa"/>
          </w:tcPr>
          <w:p w:rsidR="00001AEA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ა) რეგიონში მოქმედ სახელოვნებო განათლების დაწესებულებებში მოსწავლეთა რაოდენობა 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ააიპ „მელიტონ ბალანჩივაძის სახელობის სკოლა“;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ააიპ „ზაქარია ფალიაშვილის სახელობის სამუსიკო სკოლა“;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ააიპ „რევაზ ლაღიძის სახელობის სამუსიკო სკოლა“;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ააიპ „ვახტანგ ჭაბუკიანის სახელობის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კლასიკური ბალეტის სკოლა“;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ააიპ „აჭარის ხალხური ხელოვნების სკოლა“;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ააიპ „ნიკოლოზ კანდელაკის სახელობის სამხატვრო სკოლა“;</w:t>
            </w:r>
          </w:p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ააიპ „მოსწავლე ახალგაზრდობის სასახლე“.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>სახელოვნებო სკოლების მოსწავლეთა რეესტრი</w:t>
            </w:r>
          </w:p>
        </w:tc>
        <w:tc>
          <w:tcPr>
            <w:tcW w:w="1843" w:type="dxa"/>
          </w:tcPr>
          <w:p w:rsidR="00001AEA" w:rsidRPr="00BE608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BE608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კულტურის დეპარტამენტის უფროსი </w:t>
            </w:r>
          </w:p>
        </w:tc>
      </w:tr>
      <w:tr w:rsidR="00001AEA" w:rsidRPr="00B25C9B" w:rsidTr="00565B99">
        <w:trPr>
          <w:trHeight w:val="143"/>
        </w:trPr>
        <w:tc>
          <w:tcPr>
            <w:tcW w:w="15121" w:type="dxa"/>
            <w:gridSpan w:val="8"/>
          </w:tcPr>
          <w:p w:rsidR="00001AEA" w:rsidRDefault="00001AEA" w:rsidP="0044724B">
            <w:pPr>
              <w:rPr>
                <w:rFonts w:ascii="Sylfaen" w:hAnsi="Sylfaen"/>
                <w:b/>
                <w:color w:val="1F497D" w:themeColor="text2"/>
                <w:szCs w:val="18"/>
                <w:lang w:val="ka-GE"/>
              </w:rPr>
            </w:pPr>
          </w:p>
          <w:p w:rsidR="00001AEA" w:rsidRPr="0044724B" w:rsidRDefault="00001AEA" w:rsidP="0044724B">
            <w:pPr>
              <w:rPr>
                <w:rFonts w:ascii="Sylfaen" w:hAnsi="Sylfaen"/>
                <w:b/>
                <w:color w:val="1F497D" w:themeColor="text2"/>
                <w:szCs w:val="18"/>
                <w:lang w:val="ka-GE"/>
              </w:rPr>
            </w:pPr>
          </w:p>
        </w:tc>
      </w:tr>
      <w:tr w:rsidR="00001AEA" w:rsidRPr="00B25C9B" w:rsidTr="0044724B">
        <w:trPr>
          <w:trHeight w:val="142"/>
        </w:trPr>
        <w:tc>
          <w:tcPr>
            <w:tcW w:w="15121" w:type="dxa"/>
            <w:gridSpan w:val="8"/>
          </w:tcPr>
          <w:p w:rsidR="00001AEA" w:rsidRPr="0044724B" w:rsidRDefault="00001AEA" w:rsidP="000A55A7">
            <w:pPr>
              <w:rPr>
                <w:rFonts w:ascii="Sylfaen" w:hAnsi="Sylfaen"/>
                <w:b/>
                <w:color w:val="1F497D" w:themeColor="text2"/>
                <w:szCs w:val="18"/>
                <w:lang w:val="ka-GE"/>
              </w:rPr>
            </w:pPr>
            <w:r w:rsidRPr="0044724B">
              <w:rPr>
                <w:rFonts w:ascii="Sylfaen" w:hAnsi="Sylfaen"/>
                <w:b/>
                <w:color w:val="1F497D" w:themeColor="text2"/>
                <w:szCs w:val="18"/>
                <w:lang w:val="ka-GE"/>
              </w:rPr>
              <w:t>სფერო 3 - სპორტი</w:t>
            </w:r>
          </w:p>
        </w:tc>
      </w:tr>
      <w:tr w:rsidR="00001AEA" w:rsidRPr="00B25C9B" w:rsidTr="00763CEF">
        <w:trPr>
          <w:trHeight w:val="135"/>
        </w:trPr>
        <w:tc>
          <w:tcPr>
            <w:tcW w:w="15121" w:type="dxa"/>
            <w:gridSpan w:val="8"/>
          </w:tcPr>
          <w:p w:rsidR="00001AEA" w:rsidRDefault="00001AEA" w:rsidP="0044724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D03172">
              <w:rPr>
                <w:rFonts w:ascii="Sylfaen" w:hAnsi="Sylfaen" w:cs="Sylfaen"/>
                <w:b/>
                <w:sz w:val="20"/>
                <w:lang w:val="ka-GE"/>
              </w:rPr>
              <w:t xml:space="preserve">შედეგი </w:t>
            </w:r>
            <w:r>
              <w:rPr>
                <w:rFonts w:ascii="Sylfaen" w:hAnsi="Sylfaen" w:cs="Sylfaen"/>
                <w:b/>
                <w:sz w:val="20"/>
                <w:lang w:val="ka-GE"/>
              </w:rPr>
              <w:t>3</w:t>
            </w:r>
            <w:r w:rsidRPr="00D03172">
              <w:rPr>
                <w:rFonts w:ascii="Sylfaen" w:hAnsi="Sylfaen" w:cs="Sylfaen"/>
                <w:b/>
                <w:sz w:val="20"/>
                <w:lang w:val="ka-GE"/>
              </w:rPr>
              <w:t>.</w:t>
            </w:r>
            <w:r>
              <w:rPr>
                <w:rFonts w:ascii="Sylfaen" w:hAnsi="Sylfaen" w:cs="Sylfaen"/>
                <w:b/>
                <w:sz w:val="20"/>
                <w:lang w:val="ka-GE"/>
              </w:rPr>
              <w:t>1</w:t>
            </w:r>
            <w:r w:rsidRPr="00D03172">
              <w:rPr>
                <w:rFonts w:ascii="Sylfaen" w:hAnsi="Sylfaen" w:cs="Sylfaen"/>
                <w:b/>
                <w:sz w:val="20"/>
                <w:lang w:val="ka-GE"/>
              </w:rPr>
              <w:t xml:space="preserve">: </w:t>
            </w:r>
            <w:r w:rsidRPr="00D03172">
              <w:rPr>
                <w:rFonts w:ascii="Sylfaen" w:hAnsi="Sylfaen" w:cs="Sylfaen"/>
                <w:b/>
                <w:sz w:val="20"/>
              </w:rPr>
              <w:t>სპორტისა</w:t>
            </w:r>
            <w:r w:rsidRPr="00D03172">
              <w:rPr>
                <w:b/>
                <w:sz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</w:rPr>
              <w:t>და</w:t>
            </w:r>
            <w:r w:rsidRPr="00D03172">
              <w:rPr>
                <w:b/>
                <w:sz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</w:rPr>
              <w:t>ჯანსაღი</w:t>
            </w:r>
            <w:r w:rsidRPr="00D03172">
              <w:rPr>
                <w:b/>
                <w:sz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</w:rPr>
              <w:t>ცხოვრების</w:t>
            </w:r>
            <w:r w:rsidRPr="00D03172">
              <w:rPr>
                <w:b/>
                <w:sz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</w:rPr>
              <w:t>წესის</w:t>
            </w:r>
            <w:r w:rsidRPr="00D03172">
              <w:rPr>
                <w:b/>
                <w:sz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</w:rPr>
              <w:t>პოპულარიზაცია</w:t>
            </w:r>
          </w:p>
        </w:tc>
      </w:tr>
      <w:tr w:rsidR="00001AEA" w:rsidRPr="00B25C9B" w:rsidTr="004B722D">
        <w:trPr>
          <w:trHeight w:val="20"/>
        </w:trPr>
        <w:tc>
          <w:tcPr>
            <w:tcW w:w="2411" w:type="dxa"/>
          </w:tcPr>
          <w:p w:rsidR="00001AEA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ა) წლის განმავლობაში ჩატარებული სპორტული ღონისძიებების რაოდენობა 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ადმინისტრაცი-ული სტატისტიკა</w:t>
            </w:r>
          </w:p>
        </w:tc>
        <w:tc>
          <w:tcPr>
            <w:tcW w:w="1843" w:type="dxa"/>
          </w:tcPr>
          <w:p w:rsidR="00001AEA" w:rsidRPr="002830B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უფროსი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2830B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უფროსი</w:t>
            </w:r>
          </w:p>
        </w:tc>
      </w:tr>
      <w:tr w:rsidR="00001AEA" w:rsidRPr="00B25C9B" w:rsidTr="004B722D">
        <w:trPr>
          <w:trHeight w:val="20"/>
        </w:trPr>
        <w:tc>
          <w:tcPr>
            <w:tcW w:w="2411" w:type="dxa"/>
          </w:tcPr>
          <w:p w:rsidR="00001AEA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ბ) სპორტსკოლების აღჭურვა თანამედროვე ინვენტარით ხორციელდება მუნიციპალიტეტების მიერ ჩატარებული საჭიროებათა კვლევის საფუძველზე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საჭიროებათა კვლევის შედეგები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ფინანსური დოკუმენტაცია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მიღება-ჩაბარების აქტები</w:t>
            </w:r>
          </w:p>
        </w:tc>
        <w:tc>
          <w:tcPr>
            <w:tcW w:w="1843" w:type="dxa"/>
          </w:tcPr>
          <w:p w:rsidR="00001AEA" w:rsidRPr="002830B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უფროსი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2830B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უფროსი</w:t>
            </w:r>
          </w:p>
        </w:tc>
      </w:tr>
      <w:tr w:rsidR="00001AEA" w:rsidRPr="00B25C9B" w:rsidTr="004B722D">
        <w:trPr>
          <w:trHeight w:val="20"/>
        </w:trPr>
        <w:tc>
          <w:tcPr>
            <w:tcW w:w="2411" w:type="dxa"/>
          </w:tcPr>
          <w:p w:rsidR="00001AEA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გ) სპორტსმენთა რაოდენობა, რომელთა  უზრუნველყოფაც ხდება  </w:t>
            </w: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>სპორტული ტანისამოსითა და ინვენტარით კალენდარული წლის განმავლობაში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2012, 2013 და 2014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მინისტრის მაოდგილე</w:t>
            </w:r>
          </w:p>
        </w:tc>
        <w:tc>
          <w:tcPr>
            <w:tcW w:w="1701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სპორტისა და ახალგაზრდობის საქმეთა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დეპარტამენტი</w:t>
            </w:r>
          </w:p>
        </w:tc>
        <w:tc>
          <w:tcPr>
            <w:tcW w:w="1843" w:type="dxa"/>
          </w:tcPr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სპორტისა და ახალგაზრდობის საქმეთა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დეპარტამენტის ადმინისტრაცი-ული სტატისტიკა</w:t>
            </w:r>
          </w:p>
        </w:tc>
        <w:tc>
          <w:tcPr>
            <w:tcW w:w="1843" w:type="dxa"/>
          </w:tcPr>
          <w:p w:rsidR="00001AEA" w:rsidRPr="002830B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სპორტისა და ახალგაზრდობის საქმეთა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დეპარტამენტის უფროსი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2012, 2013 და 2014 წლების ექვსი თვისა და წლიური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ანგარიშები</w:t>
            </w:r>
          </w:p>
        </w:tc>
        <w:tc>
          <w:tcPr>
            <w:tcW w:w="1795" w:type="dxa"/>
          </w:tcPr>
          <w:p w:rsidR="00001AEA" w:rsidRPr="002830B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სპორტისა და ახალგაზრდობის საქმეთა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დეპარტამენტის უფროსი</w:t>
            </w:r>
          </w:p>
        </w:tc>
      </w:tr>
      <w:tr w:rsidR="00001AEA" w:rsidRPr="00B25C9B" w:rsidTr="004B722D">
        <w:trPr>
          <w:trHeight w:val="20"/>
        </w:trPr>
        <w:tc>
          <w:tcPr>
            <w:tcW w:w="2411" w:type="dxa"/>
          </w:tcPr>
          <w:p w:rsidR="00001AEA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 xml:space="preserve">დ) სპორტის სხვადასხვა სახეობაში ჩართული ბავშვებისა და მოზარდების რაოდენობა 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ააიპ „ბათუმის სასპორტო სკოლა“;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ააიპ „ბათუმის საჩოგბურთო სკოლა“</w:t>
            </w:r>
          </w:p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ადმინისტრაცი-ული სტატისტიკა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სპორტსკოლები</w:t>
            </w:r>
          </w:p>
        </w:tc>
        <w:tc>
          <w:tcPr>
            <w:tcW w:w="1843" w:type="dxa"/>
          </w:tcPr>
          <w:p w:rsidR="00001AEA" w:rsidRPr="002830B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უფროსი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2830B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უფროსი</w:t>
            </w:r>
          </w:p>
        </w:tc>
      </w:tr>
      <w:tr w:rsidR="00001AEA" w:rsidRPr="00B25C9B" w:rsidTr="00FC4757">
        <w:trPr>
          <w:trHeight w:val="91"/>
        </w:trPr>
        <w:tc>
          <w:tcPr>
            <w:tcW w:w="15121" w:type="dxa"/>
            <w:gridSpan w:val="8"/>
          </w:tcPr>
          <w:p w:rsidR="00001AEA" w:rsidRDefault="00001AEA" w:rsidP="0044724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D03172">
              <w:rPr>
                <w:rFonts w:ascii="Sylfaen" w:hAnsi="Sylfaen" w:cs="Sylfaen"/>
                <w:b/>
                <w:sz w:val="20"/>
                <w:lang w:val="ka-GE"/>
              </w:rPr>
              <w:t xml:space="preserve">შედეგი </w:t>
            </w:r>
            <w:r>
              <w:rPr>
                <w:rFonts w:ascii="Sylfaen" w:hAnsi="Sylfaen" w:cs="Sylfaen"/>
                <w:b/>
                <w:sz w:val="20"/>
                <w:lang w:val="ka-GE"/>
              </w:rPr>
              <w:t>3.2</w:t>
            </w:r>
            <w:r w:rsidRPr="00D03172">
              <w:rPr>
                <w:rFonts w:ascii="Sylfaen" w:hAnsi="Sylfaen" w:cs="Sylfaen"/>
                <w:b/>
                <w:sz w:val="20"/>
                <w:lang w:val="ka-GE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</w:rPr>
              <w:t>პროფესიული</w:t>
            </w:r>
            <w:r w:rsidRPr="00D03172">
              <w:rPr>
                <w:b/>
                <w:sz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</w:rPr>
              <w:t>სპორტის</w:t>
            </w:r>
            <w:r w:rsidRPr="00D03172">
              <w:rPr>
                <w:b/>
                <w:sz w:val="20"/>
              </w:rPr>
              <w:t xml:space="preserve"> </w:t>
            </w:r>
            <w:r w:rsidRPr="00D03172">
              <w:rPr>
                <w:rFonts w:ascii="Sylfaen" w:hAnsi="Sylfaen" w:cs="Sylfaen"/>
                <w:b/>
                <w:sz w:val="20"/>
              </w:rPr>
              <w:t>განვითარება</w:t>
            </w:r>
          </w:p>
        </w:tc>
      </w:tr>
      <w:tr w:rsidR="00001AEA" w:rsidRPr="00B25C9B" w:rsidTr="004B722D">
        <w:trPr>
          <w:trHeight w:val="91"/>
        </w:trPr>
        <w:tc>
          <w:tcPr>
            <w:tcW w:w="2411" w:type="dxa"/>
          </w:tcPr>
          <w:p w:rsidR="00001AEA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ა) მოქმედი დაზღვეული სპორტსმენების რაოდენობა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Pr="002830B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მონაცემთა ბაზა;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ფინანსური დოკუმენტაცია</w:t>
            </w:r>
          </w:p>
        </w:tc>
        <w:tc>
          <w:tcPr>
            <w:tcW w:w="1843" w:type="dxa"/>
          </w:tcPr>
          <w:p w:rsidR="00001AEA" w:rsidRPr="002830B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უფროსი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2830B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უფროსი</w:t>
            </w:r>
          </w:p>
        </w:tc>
      </w:tr>
      <w:tr w:rsidR="00001AEA" w:rsidRPr="00B25C9B" w:rsidTr="004B722D">
        <w:trPr>
          <w:trHeight w:val="91"/>
        </w:trPr>
        <w:tc>
          <w:tcPr>
            <w:tcW w:w="2411" w:type="dxa"/>
          </w:tcPr>
          <w:p w:rsidR="00001AEA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ბ) სპორტსმენთა რაოდენობა, რომლებსაც გადაეცათ ჯილდოები და ფასიანი საჩუქრები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Pr="002830B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მონაცემთა ბაზა;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ფინანსური დოკუმენტაცია</w:t>
            </w:r>
          </w:p>
        </w:tc>
        <w:tc>
          <w:tcPr>
            <w:tcW w:w="1843" w:type="dxa"/>
          </w:tcPr>
          <w:p w:rsidR="00001AEA" w:rsidRPr="002830B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უფროსი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2830B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უფროსი</w:t>
            </w:r>
          </w:p>
        </w:tc>
      </w:tr>
      <w:tr w:rsidR="00001AEA" w:rsidRPr="00B25C9B" w:rsidTr="004B722D">
        <w:trPr>
          <w:trHeight w:val="91"/>
        </w:trPr>
        <w:tc>
          <w:tcPr>
            <w:tcW w:w="2411" w:type="dxa"/>
          </w:tcPr>
          <w:p w:rsidR="00001AEA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 xml:space="preserve">გ) სოციალური დახმარებით უზრუნველყოფილი საპენსიო ასაკის ვეტერანების რაოდენობა 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Pr="002830B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მონაცემთა ბაზა;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2830B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ფინანსური დოკუმენტაცია</w:t>
            </w:r>
          </w:p>
        </w:tc>
        <w:tc>
          <w:tcPr>
            <w:tcW w:w="1843" w:type="dxa"/>
          </w:tcPr>
          <w:p w:rsidR="00001AEA" w:rsidRPr="002830B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სპორტისა და ახალგაზრდობის საქმეთა დეპარტამენტის უფროსი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2830B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უფროსი</w:t>
            </w:r>
          </w:p>
        </w:tc>
      </w:tr>
      <w:tr w:rsidR="00001AEA" w:rsidRPr="00B25C9B" w:rsidTr="004B722D">
        <w:trPr>
          <w:trHeight w:val="91"/>
        </w:trPr>
        <w:tc>
          <w:tcPr>
            <w:tcW w:w="2411" w:type="dxa"/>
          </w:tcPr>
          <w:p w:rsidR="00001AEA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lastRenderedPageBreak/>
              <w:t>დ) მთავარი მწვრთნელების რაოდენობა, რომლებსაც ეძლევათ სტიპენდია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Pr="002830B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მონაცემთა ბაზა;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ფინანსური დოკუმენტაცია</w:t>
            </w:r>
          </w:p>
        </w:tc>
        <w:tc>
          <w:tcPr>
            <w:tcW w:w="1843" w:type="dxa"/>
          </w:tcPr>
          <w:p w:rsidR="00001AEA" w:rsidRPr="002830B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უფროსი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2830B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უფროსი</w:t>
            </w:r>
          </w:p>
        </w:tc>
      </w:tr>
      <w:tr w:rsidR="00001AEA" w:rsidRPr="00B25C9B" w:rsidTr="004B722D">
        <w:trPr>
          <w:trHeight w:val="91"/>
        </w:trPr>
        <w:tc>
          <w:tcPr>
            <w:tcW w:w="2411" w:type="dxa"/>
          </w:tcPr>
          <w:p w:rsidR="00001AEA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  <w:t>ე) ბათუმის საფუხბურთო აკადემიაში სამი სტანდარტული მოედნის მშენებლობა და კეთილმოწყობა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ერთჯერადი 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წლის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Pr="002830B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ფინანსური დოკუმენტაცია;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12128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მიღება-ჩაბარების აქტები</w:t>
            </w:r>
          </w:p>
        </w:tc>
        <w:tc>
          <w:tcPr>
            <w:tcW w:w="1843" w:type="dxa"/>
          </w:tcPr>
          <w:p w:rsidR="00001AEA" w:rsidRPr="002830B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უფროსი</w:t>
            </w:r>
          </w:p>
        </w:tc>
        <w:tc>
          <w:tcPr>
            <w:tcW w:w="1843" w:type="dxa"/>
          </w:tcPr>
          <w:p w:rsidR="00001AEA" w:rsidRPr="00FC53C2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2013 წლის ანგარიში</w:t>
            </w:r>
          </w:p>
        </w:tc>
        <w:tc>
          <w:tcPr>
            <w:tcW w:w="1795" w:type="dxa"/>
          </w:tcPr>
          <w:p w:rsidR="00001AEA" w:rsidRPr="002830B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უფროსი</w:t>
            </w:r>
          </w:p>
        </w:tc>
      </w:tr>
      <w:tr w:rsidR="00001AEA" w:rsidRPr="00B25C9B" w:rsidTr="00B66810">
        <w:trPr>
          <w:trHeight w:val="143"/>
        </w:trPr>
        <w:tc>
          <w:tcPr>
            <w:tcW w:w="15121" w:type="dxa"/>
            <w:gridSpan w:val="8"/>
          </w:tcPr>
          <w:p w:rsidR="00001AEA" w:rsidRDefault="00001AEA" w:rsidP="000A55A7">
            <w:pPr>
              <w:rPr>
                <w:rFonts w:ascii="Sylfaen" w:hAnsi="Sylfaen"/>
                <w:b/>
                <w:color w:val="1F497D" w:themeColor="text2"/>
                <w:szCs w:val="18"/>
                <w:lang w:val="ka-GE"/>
              </w:rPr>
            </w:pPr>
          </w:p>
          <w:p w:rsidR="00001AEA" w:rsidRPr="0044724B" w:rsidRDefault="00001AEA" w:rsidP="000A55A7">
            <w:pPr>
              <w:rPr>
                <w:rFonts w:ascii="Sylfaen" w:hAnsi="Sylfaen"/>
                <w:b/>
                <w:color w:val="1F497D" w:themeColor="text2"/>
                <w:szCs w:val="18"/>
                <w:lang w:val="ka-GE"/>
              </w:rPr>
            </w:pPr>
          </w:p>
        </w:tc>
      </w:tr>
      <w:tr w:rsidR="00001AEA" w:rsidRPr="00B25C9B" w:rsidTr="00B72273">
        <w:trPr>
          <w:trHeight w:val="142"/>
        </w:trPr>
        <w:tc>
          <w:tcPr>
            <w:tcW w:w="15121" w:type="dxa"/>
            <w:gridSpan w:val="8"/>
          </w:tcPr>
          <w:p w:rsidR="00001AEA" w:rsidRPr="0044724B" w:rsidRDefault="00001AEA" w:rsidP="000A55A7">
            <w:pPr>
              <w:rPr>
                <w:rFonts w:ascii="Sylfaen" w:hAnsi="Sylfaen"/>
                <w:b/>
                <w:color w:val="1F497D" w:themeColor="text2"/>
                <w:szCs w:val="18"/>
                <w:lang w:val="ka-GE"/>
              </w:rPr>
            </w:pPr>
            <w:r w:rsidRPr="0044724B">
              <w:rPr>
                <w:rFonts w:ascii="Sylfaen" w:hAnsi="Sylfaen" w:cstheme="minorHAnsi"/>
                <w:b/>
                <w:color w:val="1F497D" w:themeColor="text2"/>
                <w:szCs w:val="18"/>
                <w:lang w:val="ka-GE"/>
              </w:rPr>
              <w:t>სფერო 4: ახალგაზრდობა</w:t>
            </w:r>
          </w:p>
        </w:tc>
      </w:tr>
      <w:tr w:rsidR="00001AEA" w:rsidRPr="00B25C9B" w:rsidTr="00F43ABC">
        <w:trPr>
          <w:trHeight w:val="91"/>
        </w:trPr>
        <w:tc>
          <w:tcPr>
            <w:tcW w:w="15121" w:type="dxa"/>
            <w:gridSpan w:val="8"/>
          </w:tcPr>
          <w:p w:rsidR="00001AEA" w:rsidRPr="0044724B" w:rsidRDefault="00001AEA" w:rsidP="000A55A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4724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4.1: </w:t>
            </w:r>
            <w:r w:rsidRPr="0044724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ახალგაზრდული ღონისძიებების </w:t>
            </w:r>
            <w:r w:rsidRPr="0044724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მხარდაჭრის </w:t>
            </w:r>
            <w:r w:rsidRPr="0044724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პროგრამ</w:t>
            </w:r>
            <w:r w:rsidRPr="0044724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ის განხორციელება</w:t>
            </w:r>
          </w:p>
        </w:tc>
      </w:tr>
      <w:tr w:rsidR="00001AEA" w:rsidRPr="00B25C9B" w:rsidTr="004B722D">
        <w:trPr>
          <w:trHeight w:val="91"/>
        </w:trPr>
        <w:tc>
          <w:tcPr>
            <w:tcW w:w="2411" w:type="dxa"/>
          </w:tcPr>
          <w:p w:rsidR="00001AEA" w:rsidRPr="00B66810" w:rsidRDefault="00001AEA" w:rsidP="000A55A7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 w:rsidRPr="00B66810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 xml:space="preserve">ა) </w:t>
            </w:r>
            <w:r w:rsidRPr="00B6681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2014 წლისათვის ახალგაზრდულ ღონისძიებებში ახალგაზრდების მონაწილეობის მაჩვენებლების ზრდა 50%-ით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Pr="002830B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001AEA" w:rsidRPr="002830B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უფროსი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2830B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უფროსი</w:t>
            </w:r>
          </w:p>
        </w:tc>
      </w:tr>
      <w:tr w:rsidR="00001AEA" w:rsidRPr="00B25C9B" w:rsidTr="00B66810">
        <w:trPr>
          <w:trHeight w:val="143"/>
        </w:trPr>
        <w:tc>
          <w:tcPr>
            <w:tcW w:w="15121" w:type="dxa"/>
            <w:gridSpan w:val="8"/>
          </w:tcPr>
          <w:p w:rsidR="00001AEA" w:rsidRDefault="00001AEA" w:rsidP="000A55A7">
            <w:pPr>
              <w:rPr>
                <w:rFonts w:ascii="Sylfaen" w:hAnsi="Sylfaen"/>
                <w:b/>
                <w:color w:val="1F497D" w:themeColor="text2"/>
                <w:lang w:val="ka-GE"/>
              </w:rPr>
            </w:pPr>
          </w:p>
          <w:p w:rsidR="00001AEA" w:rsidRPr="00B66810" w:rsidRDefault="00001AEA" w:rsidP="000A55A7">
            <w:pPr>
              <w:rPr>
                <w:rFonts w:ascii="Sylfaen" w:hAnsi="Sylfaen"/>
                <w:b/>
                <w:color w:val="1F497D" w:themeColor="text2"/>
                <w:lang w:val="ka-GE"/>
              </w:rPr>
            </w:pPr>
          </w:p>
        </w:tc>
      </w:tr>
      <w:tr w:rsidR="00001AEA" w:rsidRPr="00B25C9B" w:rsidTr="00C350EF">
        <w:trPr>
          <w:trHeight w:val="142"/>
        </w:trPr>
        <w:tc>
          <w:tcPr>
            <w:tcW w:w="15121" w:type="dxa"/>
            <w:gridSpan w:val="8"/>
          </w:tcPr>
          <w:p w:rsidR="00001AEA" w:rsidRPr="00B66810" w:rsidRDefault="00001AEA" w:rsidP="000A55A7">
            <w:pPr>
              <w:rPr>
                <w:rFonts w:ascii="Sylfaen" w:hAnsi="Sylfaen"/>
                <w:b/>
                <w:color w:val="1F497D" w:themeColor="text2"/>
                <w:lang w:val="ka-GE"/>
              </w:rPr>
            </w:pPr>
            <w:r w:rsidRPr="00B66810">
              <w:rPr>
                <w:rFonts w:ascii="Sylfaen" w:hAnsi="Sylfaen" w:cstheme="minorHAnsi"/>
                <w:b/>
                <w:color w:val="1F497D" w:themeColor="text2"/>
                <w:lang w:val="ka-GE"/>
              </w:rPr>
              <w:t xml:space="preserve">სფერო 5: ორგანიზაციული განვითრება </w:t>
            </w:r>
          </w:p>
        </w:tc>
      </w:tr>
      <w:tr w:rsidR="00001AEA" w:rsidRPr="00B25C9B" w:rsidTr="005B36AB">
        <w:trPr>
          <w:trHeight w:val="91"/>
        </w:trPr>
        <w:tc>
          <w:tcPr>
            <w:tcW w:w="15121" w:type="dxa"/>
            <w:gridSpan w:val="8"/>
          </w:tcPr>
          <w:p w:rsidR="00001AEA" w:rsidRPr="00B66810" w:rsidRDefault="00001AEA" w:rsidP="000A55A7">
            <w:pPr>
              <w:rPr>
                <w:rFonts w:ascii="Sylfaen" w:hAnsi="Sylfaen"/>
                <w:b/>
                <w:sz w:val="20"/>
                <w:szCs w:val="18"/>
                <w:lang w:val="ka-GE"/>
              </w:rPr>
            </w:pPr>
            <w:r w:rsidRPr="00B66810">
              <w:rPr>
                <w:rFonts w:ascii="Sylfaen" w:hAnsi="Sylfaen" w:cstheme="minorHAnsi"/>
                <w:b/>
                <w:color w:val="000000" w:themeColor="text1"/>
                <w:sz w:val="20"/>
                <w:szCs w:val="18"/>
                <w:lang w:val="ka-GE"/>
              </w:rPr>
              <w:t>შედეგი 5.1 სამინისტროს ადამიანური რესურსების მართვის პრაქტიკის სრულყოფა</w:t>
            </w:r>
          </w:p>
        </w:tc>
      </w:tr>
      <w:tr w:rsidR="00001AEA" w:rsidRPr="00B25C9B" w:rsidTr="004B722D">
        <w:trPr>
          <w:trHeight w:val="91"/>
        </w:trPr>
        <w:tc>
          <w:tcPr>
            <w:tcW w:w="2411" w:type="dxa"/>
          </w:tcPr>
          <w:p w:rsidR="00001AEA" w:rsidRPr="009F1F75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F1F75">
              <w:rPr>
                <w:rFonts w:ascii="Sylfaen" w:hAnsi="Sylfaen"/>
                <w:sz w:val="18"/>
                <w:szCs w:val="18"/>
                <w:lang w:val="ka-GE"/>
              </w:rPr>
              <w:t xml:space="preserve">ა) სამინისტროს საშტატო განრიგით გათვალისწინებული თანამდებობების </w:t>
            </w:r>
            <w:r w:rsidRPr="009F1F75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პროცენტული მაჩვენებელი, რომელთათვისაც შედგენილია სამუშაოს აღწერილობები განახლებული ფორმის შესაბამისად</w:t>
            </w:r>
          </w:p>
        </w:tc>
        <w:tc>
          <w:tcPr>
            <w:tcW w:w="1843" w:type="dxa"/>
          </w:tcPr>
          <w:p w:rsidR="00001AEA" w:rsidRPr="009D1E79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D1E79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2012 წლის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ადმინისტრაციული დეპარტამენტი</w:t>
            </w:r>
          </w:p>
        </w:tc>
        <w:tc>
          <w:tcPr>
            <w:tcW w:w="1843" w:type="dxa"/>
          </w:tcPr>
          <w:p w:rsidR="00001AEA" w:rsidRPr="009E525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განახლებული სამუშაოს აღწერილობები/ თანამდებობრივი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ინსტრუქციები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ადმინისტრაციული დეპარტამენტის უფროსი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 წლის ანგარიში</w:t>
            </w:r>
          </w:p>
        </w:tc>
        <w:tc>
          <w:tcPr>
            <w:tcW w:w="1795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ადმინისტრაციული დეპარტამენტის უფროსი</w:t>
            </w:r>
          </w:p>
        </w:tc>
      </w:tr>
      <w:tr w:rsidR="00001AEA" w:rsidRPr="00B25C9B" w:rsidTr="00C20B36">
        <w:trPr>
          <w:trHeight w:val="91"/>
        </w:trPr>
        <w:tc>
          <w:tcPr>
            <w:tcW w:w="15121" w:type="dxa"/>
            <w:gridSpan w:val="8"/>
          </w:tcPr>
          <w:p w:rsidR="00001AEA" w:rsidRPr="00BE2459" w:rsidRDefault="00001AEA" w:rsidP="000A55A7">
            <w:pPr>
              <w:rPr>
                <w:rFonts w:ascii="Sylfaen" w:hAnsi="Sylfaen"/>
                <w:b/>
                <w:sz w:val="20"/>
                <w:szCs w:val="18"/>
                <w:lang w:val="ka-GE"/>
              </w:rPr>
            </w:pPr>
            <w:r w:rsidRPr="00BE2459">
              <w:rPr>
                <w:rFonts w:ascii="Sylfaen" w:hAnsi="Sylfaen" w:cstheme="minorHAnsi"/>
                <w:b/>
                <w:color w:val="000000" w:themeColor="text1"/>
                <w:sz w:val="20"/>
                <w:szCs w:val="18"/>
                <w:lang w:val="ka-GE"/>
              </w:rPr>
              <w:lastRenderedPageBreak/>
              <w:t>შედეგი 5.2: მონაცემთა შეკრებისა და ანალიზის გაძლიერებული ფუნქცია</w:t>
            </w:r>
          </w:p>
        </w:tc>
      </w:tr>
      <w:tr w:rsidR="00001AEA" w:rsidRPr="00B25C9B" w:rsidTr="004B722D">
        <w:trPr>
          <w:trHeight w:val="91"/>
        </w:trPr>
        <w:tc>
          <w:tcPr>
            <w:tcW w:w="2411" w:type="dxa"/>
          </w:tcPr>
          <w:p w:rsidR="00001AEA" w:rsidRPr="002F6A9E" w:rsidRDefault="00001AEA" w:rsidP="002F6A9E">
            <w:pPr>
              <w:rPr>
                <w:rFonts w:ascii="Sylfaen" w:hAnsi="Sylfaen" w:cstheme="minorHAnsi"/>
                <w:color w:val="000000" w:themeColor="text1"/>
                <w:sz w:val="18"/>
                <w:szCs w:val="18"/>
                <w:lang w:val="ka-GE"/>
              </w:rPr>
            </w:pPr>
            <w:r w:rsidRPr="002F6A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განსაზღვრულია და რეგულარულად გროვდება სამინისტრო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სათვის მნიშვნელოვანი მონაცემები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 xml:space="preserve">, რომლებიც </w:t>
            </w:r>
            <w:r w:rsidRPr="002F6A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გამოიყენება გადაწყვეტილების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2F6A9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მიღების პროცესში, სტრატეგიის რევიზიისას, პროგრამების დაგეგმვისას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წელიწადში ორჯერ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B25C9B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წლის ივნისი, დეკემბერი</w:t>
            </w:r>
          </w:p>
        </w:tc>
        <w:tc>
          <w:tcPr>
            <w:tcW w:w="1842" w:type="dxa"/>
          </w:tcPr>
          <w:p w:rsidR="00001AEA" w:rsidRPr="00001AEA" w:rsidRDefault="00001AEA" w:rsidP="007B5092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მინისტრის მაოდგილე</w:t>
            </w:r>
          </w:p>
        </w:tc>
        <w:tc>
          <w:tcPr>
            <w:tcW w:w="1701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სპორტისა და ახალგაზრდობის საქმეთა დეპარტამენტის უფროსი;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კულტურის დეპარტამენტის უფროსი;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01AEA" w:rsidRPr="002830B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განთლებისა და სტრატეგიული დაგეგმვის დეპარატმენტის უფროსი</w:t>
            </w:r>
          </w:p>
        </w:tc>
        <w:tc>
          <w:tcPr>
            <w:tcW w:w="1843" w:type="dxa"/>
          </w:tcPr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მონაცემთა ბაზა</w:t>
            </w:r>
          </w:p>
          <w:p w:rsidR="00001AEA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43" w:type="dxa"/>
          </w:tcPr>
          <w:p w:rsidR="00001AEA" w:rsidRPr="002830B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ადმინისტრაციული დეპარტამენტის უფროსი</w:t>
            </w:r>
          </w:p>
        </w:tc>
        <w:tc>
          <w:tcPr>
            <w:tcW w:w="1843" w:type="dxa"/>
          </w:tcPr>
          <w:p w:rsidR="00001AEA" w:rsidRPr="00B25C9B" w:rsidRDefault="00001AEA" w:rsidP="000A55A7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2012, 2013 და 2014 წლების ექვსი თვისა და წლიური ანგარიშები</w:t>
            </w:r>
          </w:p>
        </w:tc>
        <w:tc>
          <w:tcPr>
            <w:tcW w:w="1795" w:type="dxa"/>
          </w:tcPr>
          <w:p w:rsidR="00001AEA" w:rsidRPr="002830BE" w:rsidRDefault="00001AEA" w:rsidP="000A55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ადმინისტრაციული დეპარტამენტის უფროსი</w:t>
            </w:r>
          </w:p>
        </w:tc>
      </w:tr>
    </w:tbl>
    <w:p w:rsidR="007837A7" w:rsidRDefault="007837A7" w:rsidP="00D37285">
      <w:pPr>
        <w:rPr>
          <w:b/>
          <w:sz w:val="28"/>
          <w:szCs w:val="28"/>
        </w:rPr>
      </w:pPr>
    </w:p>
    <w:sectPr w:rsidR="007837A7" w:rsidSect="009D013F">
      <w:footerReference w:type="default" r:id="rId8"/>
      <w:pgSz w:w="15840" w:h="12240" w:orient="landscape"/>
      <w:pgMar w:top="1134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DCA" w:rsidRDefault="007C5DCA" w:rsidP="009D013F">
      <w:pPr>
        <w:spacing w:after="0" w:line="240" w:lineRule="auto"/>
      </w:pPr>
      <w:r>
        <w:separator/>
      </w:r>
    </w:p>
  </w:endnote>
  <w:endnote w:type="continuationSeparator" w:id="0">
    <w:p w:rsidR="007C5DCA" w:rsidRDefault="007C5DCA" w:rsidP="009D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0974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013F" w:rsidRDefault="009D01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A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013F" w:rsidRDefault="009D01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DCA" w:rsidRDefault="007C5DCA" w:rsidP="009D013F">
      <w:pPr>
        <w:spacing w:after="0" w:line="240" w:lineRule="auto"/>
      </w:pPr>
      <w:r>
        <w:separator/>
      </w:r>
    </w:p>
  </w:footnote>
  <w:footnote w:type="continuationSeparator" w:id="0">
    <w:p w:rsidR="007C5DCA" w:rsidRDefault="007C5DCA" w:rsidP="009D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81965"/>
    <w:multiLevelType w:val="hybridMultilevel"/>
    <w:tmpl w:val="B7303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82"/>
    <w:rsid w:val="00001AEA"/>
    <w:rsid w:val="000130D1"/>
    <w:rsid w:val="00023083"/>
    <w:rsid w:val="00047295"/>
    <w:rsid w:val="00047B8F"/>
    <w:rsid w:val="000507FE"/>
    <w:rsid w:val="00050C35"/>
    <w:rsid w:val="00052744"/>
    <w:rsid w:val="00065BBE"/>
    <w:rsid w:val="000967E6"/>
    <w:rsid w:val="000A021D"/>
    <w:rsid w:val="000B2B3D"/>
    <w:rsid w:val="000B6DB6"/>
    <w:rsid w:val="000F6785"/>
    <w:rsid w:val="000F741A"/>
    <w:rsid w:val="000F7C00"/>
    <w:rsid w:val="00100A82"/>
    <w:rsid w:val="00103A28"/>
    <w:rsid w:val="00116D22"/>
    <w:rsid w:val="00121285"/>
    <w:rsid w:val="00130F79"/>
    <w:rsid w:val="00132D8F"/>
    <w:rsid w:val="00135B6C"/>
    <w:rsid w:val="00150282"/>
    <w:rsid w:val="0016236C"/>
    <w:rsid w:val="00185CA8"/>
    <w:rsid w:val="0018786E"/>
    <w:rsid w:val="001A7AC3"/>
    <w:rsid w:val="001B77DE"/>
    <w:rsid w:val="001C6019"/>
    <w:rsid w:val="001C7065"/>
    <w:rsid w:val="001D1F82"/>
    <w:rsid w:val="001D4800"/>
    <w:rsid w:val="001E411B"/>
    <w:rsid w:val="001E7482"/>
    <w:rsid w:val="00231FEA"/>
    <w:rsid w:val="002427B5"/>
    <w:rsid w:val="002830BE"/>
    <w:rsid w:val="002939F4"/>
    <w:rsid w:val="002C29F8"/>
    <w:rsid w:val="002D0AE4"/>
    <w:rsid w:val="002D2584"/>
    <w:rsid w:val="002F1D51"/>
    <w:rsid w:val="002F6A9E"/>
    <w:rsid w:val="00305C1C"/>
    <w:rsid w:val="0031133A"/>
    <w:rsid w:val="00345CF7"/>
    <w:rsid w:val="00347B97"/>
    <w:rsid w:val="003767E5"/>
    <w:rsid w:val="00381301"/>
    <w:rsid w:val="00382454"/>
    <w:rsid w:val="00387587"/>
    <w:rsid w:val="003968D2"/>
    <w:rsid w:val="003A12AA"/>
    <w:rsid w:val="003A6AC1"/>
    <w:rsid w:val="003A7AF4"/>
    <w:rsid w:val="003B142A"/>
    <w:rsid w:val="003C630C"/>
    <w:rsid w:val="003E56D7"/>
    <w:rsid w:val="003E695D"/>
    <w:rsid w:val="0040657F"/>
    <w:rsid w:val="00410038"/>
    <w:rsid w:val="00413CB6"/>
    <w:rsid w:val="00415FCE"/>
    <w:rsid w:val="004349C6"/>
    <w:rsid w:val="0044724B"/>
    <w:rsid w:val="004541CF"/>
    <w:rsid w:val="004603A4"/>
    <w:rsid w:val="0048075D"/>
    <w:rsid w:val="00491ED4"/>
    <w:rsid w:val="0049426A"/>
    <w:rsid w:val="004B722D"/>
    <w:rsid w:val="004C29FC"/>
    <w:rsid w:val="004C46FB"/>
    <w:rsid w:val="004C5E7B"/>
    <w:rsid w:val="00501741"/>
    <w:rsid w:val="005104E0"/>
    <w:rsid w:val="00523142"/>
    <w:rsid w:val="00537502"/>
    <w:rsid w:val="005456A8"/>
    <w:rsid w:val="00552273"/>
    <w:rsid w:val="00565B99"/>
    <w:rsid w:val="005671B6"/>
    <w:rsid w:val="0057527E"/>
    <w:rsid w:val="005975EE"/>
    <w:rsid w:val="005A1B44"/>
    <w:rsid w:val="005B61BC"/>
    <w:rsid w:val="005B7D0B"/>
    <w:rsid w:val="005C0B51"/>
    <w:rsid w:val="005C195C"/>
    <w:rsid w:val="005C70D6"/>
    <w:rsid w:val="00602ADF"/>
    <w:rsid w:val="00603B59"/>
    <w:rsid w:val="0060774C"/>
    <w:rsid w:val="00653764"/>
    <w:rsid w:val="00667AC9"/>
    <w:rsid w:val="00671F63"/>
    <w:rsid w:val="006732A9"/>
    <w:rsid w:val="00680142"/>
    <w:rsid w:val="00691DE3"/>
    <w:rsid w:val="006929EA"/>
    <w:rsid w:val="0069312E"/>
    <w:rsid w:val="006976AC"/>
    <w:rsid w:val="006A65A0"/>
    <w:rsid w:val="006B0DDC"/>
    <w:rsid w:val="006C25BC"/>
    <w:rsid w:val="006C7AD1"/>
    <w:rsid w:val="006D7471"/>
    <w:rsid w:val="006F19D2"/>
    <w:rsid w:val="006F2DC6"/>
    <w:rsid w:val="006F4125"/>
    <w:rsid w:val="00702FCA"/>
    <w:rsid w:val="00707F15"/>
    <w:rsid w:val="0071391E"/>
    <w:rsid w:val="007139CD"/>
    <w:rsid w:val="00714F8D"/>
    <w:rsid w:val="00716F72"/>
    <w:rsid w:val="00741D0A"/>
    <w:rsid w:val="00750283"/>
    <w:rsid w:val="0075644E"/>
    <w:rsid w:val="0076085B"/>
    <w:rsid w:val="0076209E"/>
    <w:rsid w:val="00777DA8"/>
    <w:rsid w:val="007837A7"/>
    <w:rsid w:val="0078428F"/>
    <w:rsid w:val="007929B9"/>
    <w:rsid w:val="007937D2"/>
    <w:rsid w:val="007B73F6"/>
    <w:rsid w:val="007C5B9A"/>
    <w:rsid w:val="007C5DCA"/>
    <w:rsid w:val="007F414E"/>
    <w:rsid w:val="007F5047"/>
    <w:rsid w:val="00802036"/>
    <w:rsid w:val="00812EC2"/>
    <w:rsid w:val="008172DC"/>
    <w:rsid w:val="008315DF"/>
    <w:rsid w:val="0083274A"/>
    <w:rsid w:val="00865A11"/>
    <w:rsid w:val="00882D44"/>
    <w:rsid w:val="008872B7"/>
    <w:rsid w:val="008A47B3"/>
    <w:rsid w:val="008B2E28"/>
    <w:rsid w:val="008B757C"/>
    <w:rsid w:val="008C00D7"/>
    <w:rsid w:val="008C0710"/>
    <w:rsid w:val="008C2E4F"/>
    <w:rsid w:val="008C2F5E"/>
    <w:rsid w:val="008D4532"/>
    <w:rsid w:val="008F42B7"/>
    <w:rsid w:val="00906279"/>
    <w:rsid w:val="00906744"/>
    <w:rsid w:val="00917FF7"/>
    <w:rsid w:val="00927EB3"/>
    <w:rsid w:val="00931378"/>
    <w:rsid w:val="00935CDC"/>
    <w:rsid w:val="00944FD9"/>
    <w:rsid w:val="00946D91"/>
    <w:rsid w:val="00950E49"/>
    <w:rsid w:val="009510D3"/>
    <w:rsid w:val="0096095B"/>
    <w:rsid w:val="00967D61"/>
    <w:rsid w:val="00970928"/>
    <w:rsid w:val="00976E4E"/>
    <w:rsid w:val="00977134"/>
    <w:rsid w:val="009A7D76"/>
    <w:rsid w:val="009B0691"/>
    <w:rsid w:val="009B154F"/>
    <w:rsid w:val="009B3D41"/>
    <w:rsid w:val="009B5B1E"/>
    <w:rsid w:val="009C0AC1"/>
    <w:rsid w:val="009D013F"/>
    <w:rsid w:val="009D1E79"/>
    <w:rsid w:val="009D288B"/>
    <w:rsid w:val="009D564A"/>
    <w:rsid w:val="009D6899"/>
    <w:rsid w:val="009D7840"/>
    <w:rsid w:val="009E525A"/>
    <w:rsid w:val="009F221A"/>
    <w:rsid w:val="00A069A3"/>
    <w:rsid w:val="00A07DB7"/>
    <w:rsid w:val="00A07F57"/>
    <w:rsid w:val="00A20A66"/>
    <w:rsid w:val="00A22911"/>
    <w:rsid w:val="00A25750"/>
    <w:rsid w:val="00A312D4"/>
    <w:rsid w:val="00A37B43"/>
    <w:rsid w:val="00A52FDB"/>
    <w:rsid w:val="00A53B6D"/>
    <w:rsid w:val="00A645A8"/>
    <w:rsid w:val="00A67C4B"/>
    <w:rsid w:val="00A71036"/>
    <w:rsid w:val="00A820DF"/>
    <w:rsid w:val="00A83F76"/>
    <w:rsid w:val="00A841E2"/>
    <w:rsid w:val="00AA089E"/>
    <w:rsid w:val="00AA184B"/>
    <w:rsid w:val="00AA27C5"/>
    <w:rsid w:val="00AA293D"/>
    <w:rsid w:val="00AC349E"/>
    <w:rsid w:val="00AC537C"/>
    <w:rsid w:val="00AD50C2"/>
    <w:rsid w:val="00AE234A"/>
    <w:rsid w:val="00B0132E"/>
    <w:rsid w:val="00B055B2"/>
    <w:rsid w:val="00B100EB"/>
    <w:rsid w:val="00B25A47"/>
    <w:rsid w:val="00B25C9B"/>
    <w:rsid w:val="00B324C5"/>
    <w:rsid w:val="00B35514"/>
    <w:rsid w:val="00B5314A"/>
    <w:rsid w:val="00B62EA1"/>
    <w:rsid w:val="00B66810"/>
    <w:rsid w:val="00B704EF"/>
    <w:rsid w:val="00B71953"/>
    <w:rsid w:val="00B87DA8"/>
    <w:rsid w:val="00B90FD1"/>
    <w:rsid w:val="00BA42E6"/>
    <w:rsid w:val="00BA7088"/>
    <w:rsid w:val="00BB2090"/>
    <w:rsid w:val="00BD640D"/>
    <w:rsid w:val="00BE2459"/>
    <w:rsid w:val="00BE608E"/>
    <w:rsid w:val="00C26690"/>
    <w:rsid w:val="00C33505"/>
    <w:rsid w:val="00C370D6"/>
    <w:rsid w:val="00C37776"/>
    <w:rsid w:val="00C415EE"/>
    <w:rsid w:val="00C442CE"/>
    <w:rsid w:val="00C52D7D"/>
    <w:rsid w:val="00C56D0F"/>
    <w:rsid w:val="00C717EF"/>
    <w:rsid w:val="00C82FAF"/>
    <w:rsid w:val="00C90CB3"/>
    <w:rsid w:val="00C9170D"/>
    <w:rsid w:val="00CA21DA"/>
    <w:rsid w:val="00CC5E8B"/>
    <w:rsid w:val="00CD02B9"/>
    <w:rsid w:val="00CE0B4E"/>
    <w:rsid w:val="00CE18D9"/>
    <w:rsid w:val="00CE7A9D"/>
    <w:rsid w:val="00CF2A66"/>
    <w:rsid w:val="00CF7B1E"/>
    <w:rsid w:val="00D02FFE"/>
    <w:rsid w:val="00D03172"/>
    <w:rsid w:val="00D10428"/>
    <w:rsid w:val="00D125CE"/>
    <w:rsid w:val="00D37285"/>
    <w:rsid w:val="00D571E5"/>
    <w:rsid w:val="00D70A13"/>
    <w:rsid w:val="00D72CCC"/>
    <w:rsid w:val="00D80451"/>
    <w:rsid w:val="00D979FB"/>
    <w:rsid w:val="00DC0C14"/>
    <w:rsid w:val="00DC1090"/>
    <w:rsid w:val="00DC20AD"/>
    <w:rsid w:val="00DF19DA"/>
    <w:rsid w:val="00E12CAF"/>
    <w:rsid w:val="00E16D6A"/>
    <w:rsid w:val="00E27AAA"/>
    <w:rsid w:val="00E33393"/>
    <w:rsid w:val="00E447F2"/>
    <w:rsid w:val="00E70218"/>
    <w:rsid w:val="00E72B7C"/>
    <w:rsid w:val="00E73614"/>
    <w:rsid w:val="00E87518"/>
    <w:rsid w:val="00E90C07"/>
    <w:rsid w:val="00E92506"/>
    <w:rsid w:val="00EA0635"/>
    <w:rsid w:val="00ED214C"/>
    <w:rsid w:val="00EF7FCF"/>
    <w:rsid w:val="00F0237B"/>
    <w:rsid w:val="00F13447"/>
    <w:rsid w:val="00F42B26"/>
    <w:rsid w:val="00F43D29"/>
    <w:rsid w:val="00F47C4D"/>
    <w:rsid w:val="00F63868"/>
    <w:rsid w:val="00F729A9"/>
    <w:rsid w:val="00F844FB"/>
    <w:rsid w:val="00F8539F"/>
    <w:rsid w:val="00F86B34"/>
    <w:rsid w:val="00F914C4"/>
    <w:rsid w:val="00F91AC1"/>
    <w:rsid w:val="00F928DE"/>
    <w:rsid w:val="00FA03DA"/>
    <w:rsid w:val="00FA320A"/>
    <w:rsid w:val="00FC53C2"/>
    <w:rsid w:val="00FC6753"/>
    <w:rsid w:val="00FF4B35"/>
    <w:rsid w:val="00FF630B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2F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1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13F"/>
  </w:style>
  <w:style w:type="paragraph" w:styleId="Footer">
    <w:name w:val="footer"/>
    <w:basedOn w:val="Normal"/>
    <w:link w:val="FooterChar"/>
    <w:uiPriority w:val="99"/>
    <w:unhideWhenUsed/>
    <w:rsid w:val="009D01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13F"/>
  </w:style>
  <w:style w:type="character" w:styleId="Emphasis">
    <w:name w:val="Emphasis"/>
    <w:basedOn w:val="DefaultParagraphFont"/>
    <w:uiPriority w:val="20"/>
    <w:qFormat/>
    <w:rsid w:val="003A7A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2F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1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13F"/>
  </w:style>
  <w:style w:type="paragraph" w:styleId="Footer">
    <w:name w:val="footer"/>
    <w:basedOn w:val="Normal"/>
    <w:link w:val="FooterChar"/>
    <w:uiPriority w:val="99"/>
    <w:unhideWhenUsed/>
    <w:rsid w:val="009D01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13F"/>
  </w:style>
  <w:style w:type="character" w:styleId="Emphasis">
    <w:name w:val="Emphasis"/>
    <w:basedOn w:val="DefaultParagraphFont"/>
    <w:uiPriority w:val="20"/>
    <w:qFormat/>
    <w:rsid w:val="003A7A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2998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pvondal</dc:creator>
  <cp:lastModifiedBy>Vano Tavadze</cp:lastModifiedBy>
  <cp:revision>19</cp:revision>
  <dcterms:created xsi:type="dcterms:W3CDTF">2012-07-09T00:32:00Z</dcterms:created>
  <dcterms:modified xsi:type="dcterms:W3CDTF">2012-08-17T00:36:00Z</dcterms:modified>
</cp:coreProperties>
</file>